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122" w:type="dxa"/>
        <w:tblLook w:val="04A0" w:firstRow="1" w:lastRow="0" w:firstColumn="1" w:lastColumn="0" w:noHBand="0" w:noVBand="1"/>
      </w:tblPr>
      <w:tblGrid>
        <w:gridCol w:w="4561"/>
        <w:gridCol w:w="4561"/>
      </w:tblGrid>
      <w:tr w:rsidR="007B5BBB" w:rsidRPr="007B5BBB" w:rsidTr="00846BAC">
        <w:trPr>
          <w:trHeight w:val="557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4127">
              <w:rPr>
                <w:rFonts w:ascii="Arial" w:hAnsi="Arial" w:cs="Arial"/>
                <w:color w:val="FF0000"/>
                <w:sz w:val="24"/>
                <w:szCs w:val="24"/>
              </w:rPr>
              <w:t>Economí</w:t>
            </w:r>
            <w:r w:rsidR="007B5BBB" w:rsidRPr="00854127">
              <w:rPr>
                <w:rFonts w:ascii="Arial" w:hAnsi="Arial" w:cs="Arial"/>
                <w:color w:val="FF0000"/>
                <w:sz w:val="24"/>
                <w:szCs w:val="24"/>
              </w:rPr>
              <w:t>a Circular</w:t>
            </w:r>
          </w:p>
        </w:tc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4127">
              <w:rPr>
                <w:rFonts w:ascii="Arial" w:hAnsi="Arial" w:cs="Arial"/>
                <w:color w:val="FF0000"/>
                <w:sz w:val="24"/>
                <w:szCs w:val="24"/>
              </w:rPr>
              <w:t>Economí</w:t>
            </w:r>
            <w:r w:rsidR="007B5BBB" w:rsidRPr="00854127">
              <w:rPr>
                <w:rFonts w:ascii="Arial" w:hAnsi="Arial" w:cs="Arial"/>
                <w:color w:val="FF0000"/>
                <w:sz w:val="24"/>
                <w:szCs w:val="24"/>
              </w:rPr>
              <w:t>a Lineal</w:t>
            </w:r>
          </w:p>
        </w:tc>
      </w:tr>
      <w:tr w:rsidR="007B5BBB" w:rsidRPr="007B5BBB" w:rsidTr="007B5BBB">
        <w:trPr>
          <w:trHeight w:val="648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</w:rPr>
              <w:t xml:space="preserve">Agua y alimentación sostenible  </w:t>
            </w:r>
          </w:p>
        </w:tc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</w:rPr>
              <w:t>Agua y alimentación</w:t>
            </w:r>
          </w:p>
        </w:tc>
      </w:tr>
      <w:tr w:rsidR="007B5BBB" w:rsidRPr="007B5BBB" w:rsidTr="007B5BBB">
        <w:trPr>
          <w:trHeight w:val="681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</w:rPr>
              <w:t>Energía renovables</w:t>
            </w:r>
          </w:p>
        </w:tc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</w:rPr>
              <w:t>Energía y combustibles</w:t>
            </w:r>
          </w:p>
        </w:tc>
      </w:tr>
      <w:tr w:rsidR="007B5BBB" w:rsidRPr="007B5BBB" w:rsidTr="007B5BBB">
        <w:trPr>
          <w:trHeight w:val="681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</w:rPr>
              <w:t>Servicios y productos sostenibles</w:t>
            </w:r>
          </w:p>
        </w:tc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</w:rPr>
              <w:t>Productos manufacturados</w:t>
            </w:r>
          </w:p>
        </w:tc>
      </w:tr>
      <w:tr w:rsidR="007B5BBB" w:rsidRPr="00854127" w:rsidTr="007B5BBB">
        <w:trPr>
          <w:trHeight w:val="648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Madera y pasta de fibras sostenibles</w:t>
            </w:r>
          </w:p>
        </w:tc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Madera, pasta, metales y plástico</w:t>
            </w:r>
          </w:p>
        </w:tc>
      </w:tr>
      <w:tr w:rsidR="007B5BBB" w:rsidRPr="00854127" w:rsidTr="007B5BBB">
        <w:trPr>
          <w:trHeight w:val="681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 xml:space="preserve">Reciclaje de nutrientes </w:t>
            </w:r>
          </w:p>
        </w:tc>
        <w:tc>
          <w:tcPr>
            <w:tcW w:w="4561" w:type="dxa"/>
            <w:vAlign w:val="center"/>
          </w:tcPr>
          <w:p w:rsidR="007B5BBB" w:rsidRPr="00854127" w:rsidRDefault="00846BAC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Agua residuales</w:t>
            </w:r>
          </w:p>
        </w:tc>
      </w:tr>
      <w:tr w:rsidR="007B5BBB" w:rsidRPr="00854127" w:rsidTr="007B5BBB">
        <w:trPr>
          <w:trHeight w:val="648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Emisión cero o muy baja</w:t>
            </w:r>
          </w:p>
        </w:tc>
        <w:tc>
          <w:tcPr>
            <w:tcW w:w="4561" w:type="dxa"/>
            <w:vAlign w:val="center"/>
          </w:tcPr>
          <w:p w:rsidR="007B5BBB" w:rsidRPr="00854127" w:rsidRDefault="00846BAC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Emisiones a la atmósfera</w:t>
            </w:r>
          </w:p>
        </w:tc>
      </w:tr>
      <w:tr w:rsidR="007B5BBB" w:rsidRPr="00854127" w:rsidTr="007B5BBB">
        <w:trPr>
          <w:trHeight w:val="681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Reutilización y reciclaje</w:t>
            </w:r>
          </w:p>
        </w:tc>
        <w:tc>
          <w:tcPr>
            <w:tcW w:w="4561" w:type="dxa"/>
            <w:vAlign w:val="center"/>
          </w:tcPr>
          <w:p w:rsidR="007B5BBB" w:rsidRPr="00854127" w:rsidRDefault="00846BAC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Derechos de herramientas y embalaje</w:t>
            </w:r>
          </w:p>
        </w:tc>
      </w:tr>
      <w:tr w:rsidR="007B5BBB" w:rsidRPr="00854127" w:rsidTr="007B5BBB">
        <w:trPr>
          <w:trHeight w:val="681"/>
        </w:trPr>
        <w:tc>
          <w:tcPr>
            <w:tcW w:w="4561" w:type="dxa"/>
            <w:vAlign w:val="center"/>
          </w:tcPr>
          <w:p w:rsidR="007B5BBB" w:rsidRPr="00854127" w:rsidRDefault="00854127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 w:rsidRPr="00854127"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>Sistemas de abono y biogás</w:t>
            </w:r>
          </w:p>
        </w:tc>
        <w:tc>
          <w:tcPr>
            <w:tcW w:w="4561" w:type="dxa"/>
            <w:vAlign w:val="center"/>
          </w:tcPr>
          <w:p w:rsidR="007B5BBB" w:rsidRPr="00854127" w:rsidRDefault="00846BAC" w:rsidP="007B5BBB">
            <w:pPr>
              <w:jc w:val="center"/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  <w:lang w:val="es-MX"/>
              </w:rPr>
              <w:t xml:space="preserve">Residuos sólidos </w:t>
            </w:r>
          </w:p>
        </w:tc>
      </w:tr>
    </w:tbl>
    <w:p w:rsidR="00D81B27" w:rsidRDefault="00D81B27" w:rsidP="007B5BBB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846BAC" w:rsidRPr="00854127" w:rsidRDefault="00846BAC" w:rsidP="00846BAC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846BAC" w:rsidRPr="00854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BB"/>
    <w:rsid w:val="007B5BBB"/>
    <w:rsid w:val="00846BAC"/>
    <w:rsid w:val="00854127"/>
    <w:rsid w:val="00D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CC19"/>
  <w15:chartTrackingRefBased/>
  <w15:docId w15:val="{271F7825-323A-4BAF-99DB-A005E08C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2021-08-20T19:16:00Z</dcterms:created>
  <dcterms:modified xsi:type="dcterms:W3CDTF">2021-08-21T23:30:00Z</dcterms:modified>
</cp:coreProperties>
</file>