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-802640</wp:posOffset>
                </wp:positionV>
                <wp:extent cx="5088890" cy="1247775"/>
                <wp:effectExtent l="6350" t="6350" r="10160" b="2222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8395" y="1101090"/>
                          <a:ext cx="5088890" cy="1247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Castellar" w:hAnsi="Castellar" w:cs="Castellar"/>
                                <w:color w:val="000000" w:themeColor="text1"/>
                                <w:sz w:val="44"/>
                                <w:szCs w:val="44"/>
                                <w:lang w:val="es-MX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stellar" w:hAnsi="Castellar" w:cs="Castellar"/>
                                <w:color w:val="000000" w:themeColor="text1"/>
                                <w:sz w:val="44"/>
                                <w:szCs w:val="44"/>
                                <w:lang w:val="es-MX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Vías de Administración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default" w:ascii="Castellar" w:hAnsi="Castellar" w:cs="Castellar"/>
                                <w:color w:val="000000" w:themeColor="text1"/>
                                <w:sz w:val="44"/>
                                <w:szCs w:val="44"/>
                                <w:lang w:val="es-MX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7pt;margin-top:-63.2pt;height:98.25pt;width:400.7pt;z-index:251659264;v-text-anchor:middle;mso-width-relative:page;mso-height-relative:page;" fillcolor="#F8CBAD [1301]" filled="t" stroked="t" coordsize="21600,21600" arcsize="0.166666666666667" o:gfxdata="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FyN3z2AAAAAoBAAAPAAAAAAAAAAEAIAAAACIAAABkcnMvZG93bnJldi54&#10;bWxQSwECFAAUAAAACACHTuJAu3amPqUCAABaBQAADgAAAAAAAAABACAAAAAnAQAAZHJzL2Uyb0Rv&#10;Yy54bWxQSwUGAAAAAAYABgBZAQAAPgY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Castellar" w:hAnsi="Castellar" w:cs="Castellar"/>
                          <w:color w:val="000000" w:themeColor="text1"/>
                          <w:sz w:val="44"/>
                          <w:szCs w:val="44"/>
                          <w:lang w:val="es-MX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Castellar" w:hAnsi="Castellar" w:cs="Castellar"/>
                          <w:color w:val="000000" w:themeColor="text1"/>
                          <w:sz w:val="44"/>
                          <w:szCs w:val="44"/>
                          <w:lang w:val="es-MX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Vías de Administración</w:t>
                      </w:r>
                    </w:p>
                    <w:p>
                      <w:pPr>
                        <w:jc w:val="both"/>
                        <w:rPr>
                          <w:rFonts w:hint="default" w:ascii="Castellar" w:hAnsi="Castellar" w:cs="Castellar"/>
                          <w:color w:val="000000" w:themeColor="text1"/>
                          <w:sz w:val="44"/>
                          <w:szCs w:val="44"/>
                          <w:lang w:val="es-MX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/>
    <w:p/>
    <w:p/>
    <w:p/>
    <w:p>
      <w:pP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2"/>
          <w:szCs w:val="22"/>
          <w:shd w:val="clear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288290</wp:posOffset>
            </wp:positionV>
            <wp:extent cx="2343785" cy="2350770"/>
            <wp:effectExtent l="0" t="0" r="18415" b="1143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32"/>
          <w:szCs w:val="32"/>
          <w:lang w:val="es-MX"/>
        </w:rPr>
        <w:t xml:space="preserve">Subcutánea: </w:t>
      </w:r>
      <w: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2"/>
          <w:szCs w:val="22"/>
          <w:shd w:val="clear" w:fill="FFFFFF"/>
        </w:rPr>
        <w:t>se inyecta entre la capa de grasa que se encuentra entre la piel y el músculo.</w:t>
      </w: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7"/>
          <w:szCs w:val="27"/>
          <w:shd w:val="clear" w:fill="FFFFFF"/>
          <w:lang w:val="es-MX"/>
        </w:rPr>
      </w:pPr>
    </w:p>
    <w:p/>
    <w:p/>
    <w:p/>
    <w:p/>
    <w:p/>
    <w:p/>
    <w:p/>
    <w:p/>
    <w:p/>
    <w:p/>
    <w:p/>
    <w:p/>
    <w:p/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368300</wp:posOffset>
            </wp:positionV>
            <wp:extent cx="2416175" cy="1523365"/>
            <wp:effectExtent l="0" t="0" r="3175" b="635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s-MX"/>
        </w:rPr>
        <w:t>Intradermica:</w:t>
      </w:r>
      <w: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En la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sans-serif" w:hAnsi="sans-serif" w:eastAsia="sans-serif" w:cs="sans-serif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inyección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  <w:r>
        <w:rPr>
          <w:rStyle w:val="4"/>
          <w:rFonts w:hint="default" w:ascii="sans-serif" w:hAnsi="sans-serif" w:eastAsia="sans-serif" w:cs="sans-serif"/>
          <w:b/>
          <w:bCs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intradérmica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la aguja penetra solo en la pie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  <w:t>l</w:t>
      </w: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694055</wp:posOffset>
            </wp:positionV>
            <wp:extent cx="2338705" cy="3108960"/>
            <wp:effectExtent l="0" t="0" r="4445" b="1524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sans-serif" w:cs="sans-serif" w:asciiTheme="majorAscii" w:hAnsiTheme="majorAscii"/>
          <w:i w:val="0"/>
          <w:iCs w:val="0"/>
          <w:caps w:val="0"/>
          <w:color w:val="111111"/>
          <w:spacing w:val="0"/>
          <w:sz w:val="32"/>
          <w:szCs w:val="32"/>
          <w:shd w:val="clear" w:fill="FFFFFF"/>
          <w:lang w:val="es-MX"/>
        </w:rPr>
        <w:t>Intramuscular:</w:t>
      </w:r>
      <w:r>
        <w:rPr>
          <w:rFonts w:ascii="SimSun" w:hAnsi="SimSun" w:eastAsia="SimSun" w:cs="SimSun"/>
          <w:sz w:val="24"/>
          <w:szCs w:val="24"/>
        </w:rPr>
        <w:br w:type="textWrapping"/>
      </w:r>
      <w: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La inyección intramuscular (IM) es una forma de administración rápida en la que el medicamento es inyectado directamente dentro de un músculo</w:t>
      </w: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</w:pPr>
    </w:p>
    <w:p>
      <w:pP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r>
        <w:rPr>
          <w:rFonts w:hint="default" w:ascii="Calibri Light" w:hAnsi="Calibri Light" w:eastAsia="Helvetica" w:cs="Calibri Light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s-MX"/>
        </w:rPr>
        <w:t>Intravenosa</w:t>
      </w:r>
      <w:r>
        <w:rPr>
          <w:rFonts w:hint="default" w:ascii="Tempus Sans ITC" w:hAnsi="Tempus Sans ITC" w:eastAsia="Helvetica" w:cs="Tempus Sans ITC"/>
          <w:i w:val="0"/>
          <w:iCs w:val="0"/>
          <w:caps w:val="0"/>
          <w:color w:val="444444"/>
          <w:spacing w:val="0"/>
          <w:sz w:val="24"/>
          <w:szCs w:val="24"/>
          <w:shd w:val="clear" w:fill="FFFFFF"/>
          <w:lang w:val="es-MX"/>
        </w:rPr>
        <w:t>:</w:t>
      </w:r>
      <w: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En la inyección intravenosa se introduce la aguja a través de la piel en una vena</w:t>
      </w: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223520</wp:posOffset>
            </wp:positionV>
            <wp:extent cx="2932430" cy="1942465"/>
            <wp:effectExtent l="0" t="0" r="1270" b="635"/>
            <wp:wrapNone/>
            <wp:docPr id="5" name="Imagen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  <w:r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652780</wp:posOffset>
            </wp:positionV>
            <wp:extent cx="1433195" cy="1430655"/>
            <wp:effectExtent l="0" t="0" r="14605" b="17145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 Light" w:hAnsi="Calibri Light" w:eastAsia="sans-serif" w:cs="Calibri Light"/>
          <w:i w:val="0"/>
          <w:iCs w:val="0"/>
          <w:caps w:val="0"/>
          <w:color w:val="111111"/>
          <w:spacing w:val="0"/>
          <w:sz w:val="32"/>
          <w:szCs w:val="32"/>
          <w:shd w:val="clear" w:fill="FFFFFF"/>
          <w:lang w:val="es-MX"/>
        </w:rPr>
        <w:t>Endovenosa</w:t>
      </w:r>
      <w:r>
        <w:rPr>
          <w:rFonts w:hint="default" w:ascii="Calibri Light" w:hAnsi="Calibri Light" w:eastAsia="sans-serif" w:cs="Calibri Light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  <w:t>:</w:t>
      </w:r>
      <w: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La vía intravenosa se emplea para la administración de medicamentos en los siguientes casos: Situación de urgencia. Sueroterapia.</w:t>
      </w:r>
      <w: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> </w:t>
      </w: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</w:p>
    <w:p>
      <w:pP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</w:pPr>
      <w:r>
        <w:rPr>
          <w:rFonts w:hint="default" w:ascii="Calibri Light" w:hAnsi="Calibri Light" w:eastAsia="sans-serif" w:cs="Calibri Light"/>
          <w:i w:val="0"/>
          <w:iCs w:val="0"/>
          <w:caps w:val="0"/>
          <w:color w:val="111111"/>
          <w:spacing w:val="0"/>
          <w:sz w:val="36"/>
          <w:szCs w:val="36"/>
          <w:shd w:val="clear" w:fill="FFFFFF"/>
          <w:lang w:val="es-MX"/>
        </w:rPr>
        <w:t>Oral:</w:t>
      </w:r>
      <w: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La primera vía de administración es la vía oral que permite de </w:t>
      </w:r>
      <w:r>
        <w:rPr>
          <w:rFonts w:ascii="sans-serif" w:hAnsi="sans-serif" w:eastAsia="sans-serif" w:cs="sans-serif"/>
          <w:i w:val="0"/>
          <w:iCs w:val="0"/>
          <w:color w:val="111111"/>
          <w:spacing w:val="0"/>
          <w:sz w:val="24"/>
          <w:szCs w:val="24"/>
          <w:shd w:val="clear" w:fill="FFFFFF"/>
          <w:lang w:val="es-MX"/>
        </w:rPr>
        <w:t>introducir</w:t>
      </w:r>
      <w:r>
        <w:rPr>
          <w:rFonts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</w:rPr>
        <w:t xml:space="preserve"> el medicamento en el sistema digestivo.</w:t>
      </w:r>
    </w:p>
    <w:p>
      <w:pPr>
        <w:rPr>
          <w:rFonts w:hint="default" w:ascii="sans-serif" w:hAnsi="sans-serif" w:eastAsia="sans-serif" w:cs="sans-serif"/>
          <w:i w:val="0"/>
          <w:iCs w:val="0"/>
          <w:caps w:val="0"/>
          <w:color w:val="111111"/>
          <w:spacing w:val="0"/>
          <w:sz w:val="24"/>
          <w:szCs w:val="24"/>
          <w:shd w:val="clear" w:fill="FFFFFF"/>
          <w:lang w:val="es-MX"/>
        </w:rPr>
      </w:pPr>
      <w:bookmarkStart w:id="0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1161415</wp:posOffset>
            </wp:positionH>
            <wp:positionV relativeFrom="paragraph">
              <wp:posOffset>701675</wp:posOffset>
            </wp:positionV>
            <wp:extent cx="3326130" cy="2201545"/>
            <wp:effectExtent l="0" t="0" r="7620" b="8255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Candara Light">
    <w:panose1 w:val="020E0502030303020204"/>
    <w:charset w:val="00"/>
    <w:family w:val="auto"/>
    <w:pitch w:val="default"/>
    <w:sig w:usb0="A00002FF" w:usb1="00000002" w:usb2="00000000" w:usb3="00000000" w:csb0="0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Rage Italic">
    <w:panose1 w:val="03070502040507070304"/>
    <w:charset w:val="00"/>
    <w:family w:val="auto"/>
    <w:pitch w:val="default"/>
    <w:sig w:usb0="00000003" w:usb1="00000000" w:usb2="00000000" w:usb3="00000000" w:csb0="20000001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Vivaldi">
    <w:panose1 w:val="03020602050506090804"/>
    <w:charset w:val="00"/>
    <w:family w:val="auto"/>
    <w:pitch w:val="default"/>
    <w:sig w:usb0="00000003" w:usb1="00000000" w:usb2="00000000" w:usb3="00000000" w:csb0="20000001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1059DF"/>
    <w:rsid w:val="0310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Office_11.2.0.10258_F1E327BC-269C-435d-A152-05C5408002CA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2021-09-29T16:36:00Z</dcterms:created>
  <dc:creator>ROSA CORTEZ</dc:creator>
  <cp:lastModifiedBy>ROSA CORTEZ</cp:lastModifiedBy>
  <dcterms:modified xsi:type="dcterms:W3CDTF">2021-09-29T17:06:13Z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2058-11.2.0.10258</vt:lpwstr>
  </property>
  <property fmtid="{D5CDD505-2E9C-101B-9397-08002B2CF9AE}" pid="3" name="ICV">
    <vt:lpwstr>BC1938D36FC54621A8EF6EAE2956D959</vt:lpwstr>
  </property>
</Properties>
</file>