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70C70" w14:textId="677054DC" w:rsidR="00184854" w:rsidRDefault="00184854" w:rsidP="0018485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IV. DESARROLLO</w:t>
      </w:r>
    </w:p>
    <w:p w14:paraId="5B746CC3" w14:textId="2243A2C2" w:rsidR="00184854" w:rsidRDefault="00184854" w:rsidP="005F4B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 Marco referencial:</w:t>
      </w:r>
    </w:p>
    <w:p w14:paraId="1FDC92DC" w14:textId="146B1666" w:rsidR="00AC6958" w:rsidRPr="0083284F" w:rsidRDefault="00AB5DD6" w:rsidP="005F4B77">
      <w:pPr>
        <w:spacing w:line="360" w:lineRule="auto"/>
        <w:jc w:val="both"/>
        <w:rPr>
          <w:rFonts w:ascii="Times New Roman" w:hAnsi="Times New Roman" w:cs="Times New Roman"/>
          <w:sz w:val="24"/>
          <w:szCs w:val="24"/>
        </w:rPr>
      </w:pPr>
      <w:r w:rsidRPr="0083284F">
        <w:rPr>
          <w:rFonts w:ascii="Times New Roman" w:hAnsi="Times New Roman" w:cs="Times New Roman"/>
          <w:b/>
          <w:bCs/>
          <w:sz w:val="24"/>
          <w:szCs w:val="24"/>
        </w:rPr>
        <w:t>Tema:</w:t>
      </w:r>
      <w:r w:rsidRPr="0083284F">
        <w:rPr>
          <w:rFonts w:ascii="Times New Roman" w:hAnsi="Times New Roman" w:cs="Times New Roman"/>
          <w:sz w:val="24"/>
          <w:szCs w:val="24"/>
        </w:rPr>
        <w:t xml:space="preserve"> Participación Ciudadana Como Factor De Resiliencia En El Sector Educativo Ante Los Efectos De La Pandemia</w:t>
      </w:r>
    </w:p>
    <w:p w14:paraId="0B6909CA" w14:textId="5F31D60A" w:rsidR="00DA4BF8" w:rsidRPr="0083284F" w:rsidRDefault="0000058B" w:rsidP="005F4B77">
      <w:pPr>
        <w:spacing w:line="360" w:lineRule="auto"/>
        <w:jc w:val="both"/>
        <w:rPr>
          <w:rFonts w:ascii="Times New Roman" w:hAnsi="Times New Roman" w:cs="Times New Roman"/>
          <w:sz w:val="24"/>
          <w:szCs w:val="24"/>
        </w:rPr>
      </w:pPr>
      <w:r w:rsidRPr="0083284F">
        <w:rPr>
          <w:rFonts w:ascii="Times New Roman" w:hAnsi="Times New Roman" w:cs="Times New Roman"/>
          <w:b/>
          <w:bCs/>
          <w:sz w:val="24"/>
          <w:szCs w:val="24"/>
        </w:rPr>
        <w:t>Antecedentes:</w:t>
      </w:r>
      <w:r w:rsidRPr="0083284F">
        <w:rPr>
          <w:rFonts w:ascii="Times New Roman" w:hAnsi="Times New Roman" w:cs="Times New Roman"/>
          <w:sz w:val="24"/>
          <w:szCs w:val="24"/>
        </w:rPr>
        <w:t xml:space="preserve"> </w:t>
      </w:r>
    </w:p>
    <w:p w14:paraId="5C61F166" w14:textId="35022C44" w:rsidR="00F43366" w:rsidRPr="0083284F" w:rsidRDefault="00F43366"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En el último año y medio (exactamente, un año y ocho meses) hemos hablado de coronavirus por activa y por pasiva; en nuestros entornos más personales, pero también en los laborales; con amigos y con desconocidos… La pandemia se ha convertido en protagonista indiscutible. En estos días, en los que los casos comienzan a subir en Europa, leo en la Revista Comunicar el artículo titulado Participación ciudadana en Twitter: Polémicas antivacunas en tiempos de COVID-19, en el que se habla de coronavirus, otro tema muy vinculado a la pandemia (vacunas) y también de ciber participación. Tres temas de máximo interés.</w:t>
      </w:r>
      <w:r w:rsidR="003A6F3E" w:rsidRPr="0083284F">
        <w:rPr>
          <w:rFonts w:ascii="Times New Roman" w:hAnsi="Times New Roman" w:cs="Times New Roman"/>
          <w:sz w:val="24"/>
          <w:szCs w:val="24"/>
        </w:rPr>
        <w:t xml:space="preserve"> </w:t>
      </w:r>
    </w:p>
    <w:p w14:paraId="5EBF8C74" w14:textId="6D0B647E" w:rsidR="003A6F3E" w:rsidRPr="0083284F" w:rsidRDefault="00184854" w:rsidP="005F4B77">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3A6F3E" w:rsidRPr="0083284F">
        <w:rPr>
          <w:rFonts w:ascii="Times New Roman" w:hAnsi="Times New Roman" w:cs="Times New Roman"/>
          <w:sz w:val="24"/>
          <w:szCs w:val="24"/>
        </w:rPr>
        <w:t xml:space="preserve">ncluso antes de la pandemia de COVID-19, el mundo ya enfrentaba una crisis de aprendizajes. Antes de la pandemia, 258 millones de niños y jóvenes en edad escolar estaban fuera de la escuela y una baja calidad educativa significaba que muchos de los niños que estaban escolarizados aprendían demasiado poco. La tasa de pobreza de aprendizajes </w:t>
      </w:r>
      <w:r w:rsidR="00C56A93" w:rsidRPr="0083284F">
        <w:rPr>
          <w:rFonts w:ascii="Times New Roman" w:hAnsi="Times New Roman" w:cs="Times New Roman"/>
          <w:sz w:val="24"/>
          <w:szCs w:val="24"/>
        </w:rPr>
        <w:t>en los</w:t>
      </w:r>
      <w:r w:rsidR="003A6F3E" w:rsidRPr="0083284F">
        <w:rPr>
          <w:rFonts w:ascii="Times New Roman" w:hAnsi="Times New Roman" w:cs="Times New Roman"/>
          <w:sz w:val="24"/>
          <w:szCs w:val="24"/>
        </w:rPr>
        <w:t xml:space="preserve"> países de ingreso bajo y de ingreso mediano era del 53 %, lo que significaba que más de la mitad de los niños de 10 años no podían leer y comprender un relato sencillo adecuado para su edad2 Peor aún, la crisis no estaba distribuida de manera equitativa: los niños y jóvenes más desfavorecidos eran quienes menos acceso tenían a la escuela, con tasas de deserción escolar más altas y mayores déficits en el aprendizaje Todo esto significa que el mundo ya estaba bastante alejado de poder cumplir con el Objetivo de Desarrollo Sostenible 4 que compromete a todas las</w:t>
      </w:r>
    </w:p>
    <w:p w14:paraId="55BAD4FF" w14:textId="0356A1EF" w:rsidR="003A6F3E" w:rsidRPr="0083284F" w:rsidRDefault="00184854" w:rsidP="005F4B77">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3A6F3E" w:rsidRPr="0083284F">
        <w:rPr>
          <w:rFonts w:ascii="Times New Roman" w:hAnsi="Times New Roman" w:cs="Times New Roman"/>
          <w:sz w:val="24"/>
          <w:szCs w:val="24"/>
        </w:rPr>
        <w:t>aciones a garantizar que, entre otros objetivos ambiciosos, “todas las niñas y todos los niños terminen la</w:t>
      </w:r>
      <w:r w:rsidR="00C56A93">
        <w:rPr>
          <w:rFonts w:ascii="Times New Roman" w:hAnsi="Times New Roman" w:cs="Times New Roman"/>
          <w:sz w:val="24"/>
          <w:szCs w:val="24"/>
        </w:rPr>
        <w:t xml:space="preserve"> </w:t>
      </w:r>
      <w:r w:rsidR="003A6F3E" w:rsidRPr="0083284F">
        <w:rPr>
          <w:rFonts w:ascii="Times New Roman" w:hAnsi="Times New Roman" w:cs="Times New Roman"/>
          <w:sz w:val="24"/>
          <w:szCs w:val="24"/>
        </w:rPr>
        <w:t>enseñanza primaria y secundaria, que ha de ser gratuita, equitativa y de calidad”.</w:t>
      </w:r>
      <w:r w:rsidR="00C56A93">
        <w:rPr>
          <w:rFonts w:ascii="Times New Roman" w:hAnsi="Times New Roman" w:cs="Times New Roman"/>
          <w:sz w:val="24"/>
          <w:szCs w:val="24"/>
        </w:rPr>
        <w:t xml:space="preserve"> </w:t>
      </w:r>
      <w:r w:rsidR="003A6F3E" w:rsidRPr="0083284F">
        <w:rPr>
          <w:rFonts w:ascii="Times New Roman" w:hAnsi="Times New Roman" w:cs="Times New Roman"/>
          <w:sz w:val="24"/>
          <w:szCs w:val="24"/>
        </w:rPr>
        <w:t>La pandemia de COVID-19 amenaza con deteriorar aún más los resultados educativos. La pandemia</w:t>
      </w:r>
      <w:r w:rsidR="00C56A93">
        <w:rPr>
          <w:rFonts w:ascii="Times New Roman" w:hAnsi="Times New Roman" w:cs="Times New Roman"/>
          <w:sz w:val="24"/>
          <w:szCs w:val="24"/>
        </w:rPr>
        <w:t xml:space="preserve"> </w:t>
      </w:r>
      <w:r w:rsidR="003A6F3E" w:rsidRPr="0083284F">
        <w:rPr>
          <w:rFonts w:ascii="Times New Roman" w:hAnsi="Times New Roman" w:cs="Times New Roman"/>
          <w:sz w:val="24"/>
          <w:szCs w:val="24"/>
        </w:rPr>
        <w:t>ya ha tenido un enorme impacto en la educación con</w:t>
      </w:r>
      <w:r w:rsidR="00C56A93">
        <w:rPr>
          <w:rFonts w:ascii="Times New Roman" w:hAnsi="Times New Roman" w:cs="Times New Roman"/>
          <w:sz w:val="24"/>
          <w:szCs w:val="24"/>
        </w:rPr>
        <w:t xml:space="preserve"> </w:t>
      </w:r>
      <w:r w:rsidR="003A6F3E" w:rsidRPr="0083284F">
        <w:rPr>
          <w:rFonts w:ascii="Times New Roman" w:hAnsi="Times New Roman" w:cs="Times New Roman"/>
          <w:sz w:val="24"/>
          <w:szCs w:val="24"/>
        </w:rPr>
        <w:t>el cierre de las escuelas en casi todos los lugares del</w:t>
      </w:r>
      <w:r w:rsidR="00C56A93">
        <w:rPr>
          <w:rFonts w:ascii="Times New Roman" w:hAnsi="Times New Roman" w:cs="Times New Roman"/>
          <w:sz w:val="24"/>
          <w:szCs w:val="24"/>
        </w:rPr>
        <w:t xml:space="preserve"> </w:t>
      </w:r>
      <w:r w:rsidR="003A6F3E" w:rsidRPr="0083284F">
        <w:rPr>
          <w:rFonts w:ascii="Times New Roman" w:hAnsi="Times New Roman" w:cs="Times New Roman"/>
          <w:sz w:val="24"/>
          <w:szCs w:val="24"/>
        </w:rPr>
        <w:t>planeta, en lo que representa la crisis simultánea más</w:t>
      </w:r>
      <w:r w:rsidR="00C56A93">
        <w:rPr>
          <w:rFonts w:ascii="Times New Roman" w:hAnsi="Times New Roman" w:cs="Times New Roman"/>
          <w:sz w:val="24"/>
          <w:szCs w:val="24"/>
        </w:rPr>
        <w:t xml:space="preserve"> </w:t>
      </w:r>
      <w:r w:rsidR="003A6F3E" w:rsidRPr="0083284F">
        <w:rPr>
          <w:rFonts w:ascii="Times New Roman" w:hAnsi="Times New Roman" w:cs="Times New Roman"/>
          <w:sz w:val="24"/>
          <w:szCs w:val="24"/>
        </w:rPr>
        <w:t>importante que han sufrido todos los sistemas educativos del mundo en nuestra época. El daño será aún</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más grave a medida que la emergencia de salud se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 xml:space="preserve">traslade a la economía y provoque una profunda recesión </w:t>
      </w:r>
      <w:r w:rsidR="003A6F3E" w:rsidRPr="0083284F">
        <w:rPr>
          <w:rFonts w:ascii="Times New Roman" w:hAnsi="Times New Roman" w:cs="Times New Roman"/>
          <w:sz w:val="24"/>
          <w:szCs w:val="24"/>
        </w:rPr>
        <w:lastRenderedPageBreak/>
        <w:t>mundial. Más adelante se describen estos costos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que tendrá la crisis.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Sin embargo, es posible contrarrestar estos impactos y convertir la crisis en oportunidad. El primer</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paso es sobrellevar correctamente el periodo de tiempo en el cual las escuelas permanecen cerradas a fin</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de proteger la salud y la seguridad y hacer lo posible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por evitar la pérdida de aprendizaje en los estudiantes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mediante la educación a distancia. Al mismo tiempo,</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 necesario que los países comiencen a planificar la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reapertura de las escuelas. Esto significa evitar deserciones, garantizar condiciones escolares saludables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y utilizar nuevas técnicas para promover la rápida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recuperación del aprendizaje en áreas clave una vez</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 xml:space="preserve">que los estudiantes hayan regresado a la escuela. </w:t>
      </w:r>
      <w:r w:rsidR="0083284F" w:rsidRPr="0083284F">
        <w:rPr>
          <w:rFonts w:ascii="Times New Roman" w:hAnsi="Times New Roman" w:cs="Times New Roman"/>
          <w:sz w:val="24"/>
          <w:szCs w:val="24"/>
        </w:rPr>
        <w:t>A medida</w:t>
      </w:r>
      <w:r w:rsidR="003A6F3E" w:rsidRPr="0083284F">
        <w:rPr>
          <w:rFonts w:ascii="Times New Roman" w:hAnsi="Times New Roman" w:cs="Times New Roman"/>
          <w:sz w:val="24"/>
          <w:szCs w:val="24"/>
        </w:rPr>
        <w:t xml:space="preserve"> que el sistema escolar se estabilice, los países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podrán utilizar la innovación del período de recuperación para “reconstruirse mejor” y acelerar el aprendizaje. La clave: no repetir las fallas que tenían los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sistemas antes de la pandemia, sino apuntar a construir sistemas más adecuados que permitan que todos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los estudiantes aprendan de manera acelerada.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Impactos mundiales en la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educación sin precedentes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El doble impacto del cierre de las escuelas y de la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recesión mundial podría tener costos a largo plazo</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para la educación y el desarrollo si los gobiernos no</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reaccionan con rapidez para contrarrestarlos. El</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cierre de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escuelas provocará una pérdida de aprendizajes, un aumento en la cantidad de deserciones escolares y una mayor inequidad; la crisis económica, que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afecta a los hogares, agravará el daño, pues vendrá</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acompañada de menor oferta y demanda educativa.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Estos dos impactos, en conjunto, tendrán un costo 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largo plazo sobre la acumulación de capital humano,</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las perspectivas de desarrollo y el bienestar (véase el</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gráfico 1).</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Cierre de las escuelas: Hasta finales de abril, se habían cerrado establecimientos escolares en 180 países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y el 85 % de los estudiantes de todo el mundo no</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estaban asistiendo a la escuela4</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Si no se aplican políticas enérgicas, esto tendrá costos inmediatos tanto</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sobre el aprendizaje como sobre la salud de niños y</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jóvenes: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El aprendizaje se reducirá y aumentarán las deserciones escolares, en especial, entre las personas más desfavorecidas. En su gran mayoría, los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estudiantes dejarán de aprender las materias académicas. La reducción del aprendizaje puede ser</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mayor en el caso de los niños en edad preescolar,</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ya que es menos probable que sus familias le den</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prioridad a su aprendizaje durante el cierre de las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escuelas. La inequidad en el aprendizaje aumentará, dado que solo los estudiantes de familias más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acomodadas y educadas tendrán apoyo para seguir aprendiendo en casa. Por último, el riesgo de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deserción escolar aumentará, pues el apego de los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estudiantes vulnerables a la escuela se puede reducir ante la falta de exposición a docentes que los</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motiven.</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La ausencia del apoyo y de la estructura que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 xml:space="preserve">brindan las escuelas también afectará </w:t>
      </w:r>
      <w:r w:rsidR="003A6F3E" w:rsidRPr="0083284F">
        <w:rPr>
          <w:rFonts w:ascii="Times New Roman" w:hAnsi="Times New Roman" w:cs="Times New Roman"/>
          <w:sz w:val="24"/>
          <w:szCs w:val="24"/>
        </w:rPr>
        <w:lastRenderedPageBreak/>
        <w:t>la salud</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y la seguridad. Estarán en juego la nutrición y la</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salud física de los estudiantes, ya que alrededor de</w:t>
      </w:r>
      <w:r w:rsidR="0083284F">
        <w:rPr>
          <w:rFonts w:ascii="Times New Roman" w:hAnsi="Times New Roman" w:cs="Times New Roman"/>
          <w:sz w:val="24"/>
          <w:szCs w:val="24"/>
        </w:rPr>
        <w:t xml:space="preserve"> </w:t>
      </w:r>
      <w:r w:rsidR="003A6F3E" w:rsidRPr="0083284F">
        <w:rPr>
          <w:rFonts w:ascii="Times New Roman" w:hAnsi="Times New Roman" w:cs="Times New Roman"/>
          <w:sz w:val="24"/>
          <w:szCs w:val="24"/>
        </w:rPr>
        <w:t>368 millones de niños de todo el mundo dependen</w:t>
      </w:r>
      <w:r>
        <w:rPr>
          <w:rFonts w:ascii="Times New Roman" w:hAnsi="Times New Roman" w:cs="Times New Roman"/>
          <w:sz w:val="24"/>
          <w:szCs w:val="24"/>
        </w:rPr>
        <w:t xml:space="preserve">. </w:t>
      </w:r>
    </w:p>
    <w:p w14:paraId="2F68EE1E" w14:textId="5F8E4E07" w:rsidR="003A6F3E" w:rsidRPr="0083284F" w:rsidRDefault="003A6F3E"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COVID-19: IMPACTO EN LA EDUCACIÓN Y RESPUESTA DE POLÍTICA PÚBLICA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de programas de alimentación escolar. También</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puede sufrir la salud mental de los estudiantes debido al aislamiento que deben mantener durante</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el período de distanciamiento social y los efectos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traumáticos de la crisis sobre las familias. Además,</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es posible que los jóvenes que no van a la escuela</w:t>
      </w:r>
      <w:r w:rsidR="0083284F">
        <w:rPr>
          <w:rFonts w:ascii="Times New Roman" w:hAnsi="Times New Roman" w:cs="Times New Roman"/>
          <w:sz w:val="24"/>
          <w:szCs w:val="24"/>
        </w:rPr>
        <w:t xml:space="preserve"> </w:t>
      </w:r>
      <w:r w:rsidRPr="0083284F">
        <w:rPr>
          <w:rFonts w:ascii="Times New Roman" w:hAnsi="Times New Roman" w:cs="Times New Roman"/>
          <w:sz w:val="24"/>
          <w:szCs w:val="24"/>
        </w:rPr>
        <w:t>tengan comportamientos más peligrosos y que aumente la fertilidad adolescente.</w:t>
      </w:r>
    </w:p>
    <w:p w14:paraId="7329FAF9" w14:textId="40499C0B" w:rsidR="00F43366" w:rsidRPr="0083284F" w:rsidRDefault="00F43366"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Y una original fusión. Los investigadores españoles Rafael Carrasco, Miguel Ángel Martín y Ernesto Villar analizan cómo ha sido la participación ciudadana en l</w:t>
      </w:r>
      <w:r w:rsidR="00184854">
        <w:rPr>
          <w:rFonts w:ascii="Times New Roman" w:hAnsi="Times New Roman" w:cs="Times New Roman"/>
          <w:sz w:val="24"/>
          <w:szCs w:val="24"/>
        </w:rPr>
        <w:t xml:space="preserve">a </w:t>
      </w:r>
      <w:r w:rsidRPr="0083284F">
        <w:rPr>
          <w:rFonts w:ascii="Times New Roman" w:hAnsi="Times New Roman" w:cs="Times New Roman"/>
          <w:sz w:val="24"/>
          <w:szCs w:val="24"/>
        </w:rPr>
        <w:t>red social Twitter, especialmente en el debate de las vacunas. Llegan a la conclusión de que prima lo valoración positiva sobre la negativa en el caso de las vacunas. Sin embargo, de la vacuna que más se habla es de la rusa Sputnik, que es la más polémica justo a las de origen chino. Y otro detalle llamativo es que la presencia de bots es casi inexistente.</w:t>
      </w:r>
    </w:p>
    <w:p w14:paraId="15ED15FA" w14:textId="2C8E18C5" w:rsidR="00F43366" w:rsidRPr="0083284F" w:rsidRDefault="00F43366"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El artículo es de interés tanto para investigadores de comunicación política y participación ciudadana como para cualquier persona que esté interesada en descubrir el papel que las redes sociales han desempeñado durante la pandemia. Por ello, recomendamos su lectura</w:t>
      </w:r>
    </w:p>
    <w:p w14:paraId="57A94786" w14:textId="12C53904" w:rsidR="00DA4BF8" w:rsidRPr="0083284F" w:rsidRDefault="00DA4BF8"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El objetivo de este documento es visibilizar la diversidad de consecuencias que estas medidas tendrán sobre las comunidades educativas a corto y mediano plazo, así como plantear las principales recomendaciones para sobrellevar el impacto de la mejor manera posible, proyectando oportunidades para el aprendizaje y la innovación en la educación posterior a la pandemia.</w:t>
      </w:r>
      <w:r w:rsidR="00E14161" w:rsidRPr="0083284F">
        <w:rPr>
          <w:rFonts w:ascii="Times New Roman" w:hAnsi="Times New Roman" w:cs="Times New Roman"/>
          <w:sz w:val="24"/>
          <w:szCs w:val="24"/>
        </w:rPr>
        <w:t xml:space="preserve"> </w:t>
      </w:r>
    </w:p>
    <w:p w14:paraId="33291184" w14:textId="5F1D0616" w:rsidR="00E14161" w:rsidRPr="0083284F" w:rsidRDefault="00E14161"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En el marco de la suspensión de las clases presenciales, la necesidad de mantener la continuidad de los aprendizajes ha impuesto desafíos que los países han abordado mediante diferentes alternativas y soluciones en relación con los calendarios escolares y las formas de implementación del currículo, por medios no presenciales y con diversas formas de adaptación, priorización y ajuste. Para realizar los ajustes se requiere tomar en cuenta las características de los currículos nacionales o subnacionales, los recursos y capacidades del país para generar procesos de educación a distancia, los niveles de segregación y desigualdad educativa del país y el tiempo transcurrido del año escolar. Mientras que algunos países como México y la </w:t>
      </w:r>
      <w:r w:rsidRPr="0083284F">
        <w:rPr>
          <w:rFonts w:ascii="Times New Roman" w:hAnsi="Times New Roman" w:cs="Times New Roman"/>
          <w:sz w:val="24"/>
          <w:szCs w:val="24"/>
        </w:rPr>
        <w:lastRenderedPageBreak/>
        <w:t>República Dominicana y algunos sectores del Ecuador y el Brasil se encontraban en la mitad del año escolar cuando comenzó la pandemia, la gran mayoría se encontraba en el inicio.</w:t>
      </w:r>
      <w:r w:rsidRPr="0083284F">
        <w:rPr>
          <w:rFonts w:ascii="Times New Roman" w:hAnsi="Times New Roman" w:cs="Times New Roman"/>
          <w:sz w:val="24"/>
          <w:szCs w:val="24"/>
        </w:rPr>
        <w:cr/>
        <w:t>La mayoría de los países cuentan con recursos y plataformas digitales para la conexión remota, que han sido</w:t>
      </w:r>
    </w:p>
    <w:p w14:paraId="6B1117F0" w14:textId="0ED43BD8" w:rsidR="00AB5DD6" w:rsidRPr="0083284F" w:rsidRDefault="00486E1B"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Respecto a la entrega de dispositivos digitales para docentes, en El Salvador, como parte del proceso de digitalización de la educación, se trabaja en la adquisición de equipo tecnológico para el 100% de los estudiantes y docentes del sector educativo público (Ministerio de Educación de El Salvador, 2020b). En el caso de la Argentina, existen propuestas de ofrecer créditos del Banco de la Nación Argentina a una tasa subsidiada para que las y los docentes puedan comprar computadoras (Molina, 2020). Un caso que vale la pena destacar es el del Paraguay, donde, pese a que no se han distribuido equipos directamente a docentes, se optó por priorizar la entrega de 2.500 computadoras portátiles con acceso a Internet a 504 instituciones educativas de comunidades indígenas. Dicha decisión se basa en la ausencia de circulación comunitaria del coronavirus en esas comunidades, sumada a que su modo de convivencia familiar y comunitaria implica que “la escuela está dentro de la comunidad” y, por ende, han mantenido el vínculo en                   </w:t>
      </w:r>
      <w:r w:rsidR="00AB5DD6" w:rsidRPr="0083284F">
        <w:rPr>
          <w:rFonts w:ascii="Times New Roman" w:hAnsi="Times New Roman" w:cs="Times New Roman"/>
          <w:sz w:val="24"/>
          <w:szCs w:val="24"/>
          <w:shd w:val="clear" w:color="auto" w:fill="FFFFFF"/>
        </w:rPr>
        <w:t>La resiliencia en el sistema educativo significa la capacidad del sistema de incluir a las escuelas, a las instituciones públicas, a otras instituciones educativas y a la comunidad para poder preparar la respuesta y la recuperación del impacto de las amenazas y reducir la posibilidad de que estas se conviertan en desastres, por lo que debe garantizarse la seguridad del entorno escolar, de brindar oportunidades equitativas educativas, incluso frente a desastres, y el logro de las metas educativas, que son el poder seguir enseñando y aprendiendo a pesar de los impactos del peligro en un ambiente de aprendizaje seguro.</w:t>
      </w:r>
    </w:p>
    <w:p w14:paraId="6C5F4BEE" w14:textId="6D5B35F4" w:rsidR="00F43366" w:rsidRPr="0083284F" w:rsidRDefault="00F43366" w:rsidP="005F4B77">
      <w:pPr>
        <w:spacing w:line="360" w:lineRule="auto"/>
        <w:jc w:val="both"/>
        <w:rPr>
          <w:rFonts w:ascii="Times New Roman" w:hAnsi="Times New Roman" w:cs="Times New Roman"/>
          <w:sz w:val="24"/>
          <w:szCs w:val="24"/>
          <w:shd w:val="clear" w:color="auto" w:fill="FFFFFF"/>
        </w:rPr>
      </w:pPr>
      <w:r w:rsidRPr="0083284F">
        <w:rPr>
          <w:rFonts w:ascii="Times New Roman" w:hAnsi="Times New Roman" w:cs="Times New Roman"/>
          <w:sz w:val="24"/>
          <w:szCs w:val="24"/>
          <w:shd w:val="clear" w:color="auto" w:fill="FFFFFF"/>
        </w:rPr>
        <w:t>Un aspecto muy relevante es la evaluación y monitoreo de los aprendizajes —así como la retroalimentación— para conocer el progreso de las y los estudiantes y tomar las acciones pedagógicas pertinentes a fin de mejorarlo.</w:t>
      </w:r>
      <w:r w:rsidRPr="0083284F">
        <w:rPr>
          <w:rFonts w:ascii="Times New Roman" w:hAnsi="Times New Roman" w:cs="Times New Roman"/>
          <w:sz w:val="24"/>
          <w:szCs w:val="24"/>
          <w:shd w:val="clear" w:color="auto" w:fill="FFFFFF"/>
        </w:rPr>
        <w:cr/>
        <w:t xml:space="preserve">Las actividades de educación a distancia han reafirmado la función formativa de la evaluación. La información sobre el aprendizaje individual de cada estudiante, a través de ejercicios de diagnóstico y de seguimiento, permite a las y los docentes proporcionar retroalimentación a sus estudiantes y modificar sus estrategias pedagógicas para que sean más efectivas. El desarrollo de instrumentos de evaluación formativa y de autoevaluación permite, además, fomentar los </w:t>
      </w:r>
      <w:r w:rsidRPr="0083284F">
        <w:rPr>
          <w:rFonts w:ascii="Times New Roman" w:hAnsi="Times New Roman" w:cs="Times New Roman"/>
          <w:sz w:val="24"/>
          <w:szCs w:val="24"/>
          <w:shd w:val="clear" w:color="auto" w:fill="FFFFFF"/>
        </w:rPr>
        <w:lastRenderedPageBreak/>
        <w:t>procesos de evaluación a cargo de las y los docentes en conjunto con sus estudiantes, para evaluar el avance de estos con respecto a las metas de aprendizaje propuestas</w:t>
      </w:r>
    </w:p>
    <w:p w14:paraId="7FE6E4F9" w14:textId="3AF1181E" w:rsidR="00DA4BF8" w:rsidRPr="0083284F" w:rsidRDefault="0000058B"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La pandemia de enfermedad por coronavirus (COVID-19) ha provocado una crisis sin precedentes en todos los ámbitos. En la esfera de la educación, esta emergencia ha dado lugar al cierre masivo de las actividades presenciales de instituciones educativas, con el fin de evitar la propagación del virus y mitigar su impacto. Según datos de la Organización de las Naciones Unidas para la Educación, la Ciencia y la Cultura (UNESCO), a mediados de mayo de 2020 más de 1.200 millones de estudiantes de todos los niveles de enseñanza, en todo el mundo, habían dejado de tener clases presenciales en la</w:t>
      </w:r>
      <w:r w:rsidR="00184854">
        <w:rPr>
          <w:rFonts w:ascii="Times New Roman" w:hAnsi="Times New Roman" w:cs="Times New Roman"/>
          <w:sz w:val="24"/>
          <w:szCs w:val="24"/>
        </w:rPr>
        <w:t>s</w:t>
      </w:r>
      <w:r w:rsidRPr="0083284F">
        <w:rPr>
          <w:rFonts w:ascii="Times New Roman" w:hAnsi="Times New Roman" w:cs="Times New Roman"/>
          <w:sz w:val="24"/>
          <w:szCs w:val="24"/>
        </w:rPr>
        <w:t xml:space="preserve"> escuela</w:t>
      </w:r>
      <w:r w:rsidR="00184854">
        <w:rPr>
          <w:rFonts w:ascii="Times New Roman" w:hAnsi="Times New Roman" w:cs="Times New Roman"/>
          <w:sz w:val="24"/>
          <w:szCs w:val="24"/>
        </w:rPr>
        <w:t>s</w:t>
      </w:r>
      <w:r w:rsidRPr="0083284F">
        <w:rPr>
          <w:rFonts w:ascii="Times New Roman" w:hAnsi="Times New Roman" w:cs="Times New Roman"/>
          <w:sz w:val="24"/>
          <w:szCs w:val="24"/>
        </w:rPr>
        <w:t>.</w:t>
      </w:r>
      <w:r w:rsidR="005F4B77">
        <w:rPr>
          <w:rFonts w:ascii="Times New Roman" w:hAnsi="Times New Roman" w:cs="Times New Roman"/>
          <w:sz w:val="24"/>
          <w:szCs w:val="24"/>
        </w:rPr>
        <w:t xml:space="preserve"> D</w:t>
      </w:r>
      <w:r w:rsidRPr="0083284F">
        <w:rPr>
          <w:rFonts w:ascii="Times New Roman" w:hAnsi="Times New Roman" w:cs="Times New Roman"/>
          <w:sz w:val="24"/>
          <w:szCs w:val="24"/>
        </w:rPr>
        <w:t>e una diversidad de formatos y plataformas (con o sin uso de tecnología); el apoyo y la movilización del personal y las comunidades educativas, y la atención a la salud y el bienestar integral de las y los estudiantes.</w:t>
      </w:r>
    </w:p>
    <w:p w14:paraId="548A6689" w14:textId="75409B11" w:rsidR="00DA4BF8" w:rsidRPr="0083284F" w:rsidRDefault="00DA4BF8"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(COVID-19) ha provocado una crisis sin precedentes en todos los ámbitos. En la esfera de la educación, esta emergencia ha dado lugar al cierre masivo de las actividades presenciales de instituciones educativas en más de 190 países con el fin de evitar la propagación del virus y mitigar su impacto.</w:t>
      </w:r>
    </w:p>
    <w:p w14:paraId="4A89CC78" w14:textId="39FACA2E" w:rsidR="00DA4BF8" w:rsidRPr="0083284F" w:rsidRDefault="00DA4BF8"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Por su parte, la UNESCO ha identificado grandes brechas en los resultados educativos, que se relacionan con una desigual distribución de los docentes, en general, y de los docentes mejor calificados, en particular, en desmedro de países y regiones con menores ingresos y de zonas rurales, las que suelen concentrar además a población indígena y migrante.</w:t>
      </w:r>
      <w:r w:rsidRPr="0083284F">
        <w:rPr>
          <w:rFonts w:ascii="Times New Roman" w:hAnsi="Times New Roman" w:cs="Times New Roman"/>
          <w:sz w:val="24"/>
          <w:szCs w:val="24"/>
        </w:rPr>
        <w:cr/>
        <w:t>En el ámbito educativo, gran parte de las medidas que los países de la región han adoptado ante la crisis se relacionan con la suspensión de las clases presenciales en todos los niveles, lo que ha dado origen a tres campos de acción principales: el despliegue de modalidades de aprendizaje a distancia, mediante la utilización de una diversidad de formatos y plataformas (con o sin uso de tecnología); el apoyo y la movilización del personal y las comunidades educativas, y la atención a la salud y el bienestar integral de las y los estudiantes.</w:t>
      </w:r>
    </w:p>
    <w:p w14:paraId="652B1B14" w14:textId="1DAFCE75" w:rsidR="00DA4BF8" w:rsidRPr="0083284F" w:rsidRDefault="00DA4BF8"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La información recolectada sobre los 33 países de América Latina y el Caribe hasta el 7 de julio de 2020 permite constatar que en el ámbito educativo gran parte de las medidas tomadas se relacionan con la suspensión de las clases presenciales en todos los niveles educativos. De dichos países, 32 suspendieron las clases presenciales y 29 mantienen una suspensión a nivel nacional (en Nicaragua no se han suspendido las clases). En el Uruguay se inició el retorno a </w:t>
      </w:r>
      <w:r w:rsidRPr="0083284F">
        <w:rPr>
          <w:rFonts w:ascii="Times New Roman" w:hAnsi="Times New Roman" w:cs="Times New Roman"/>
          <w:sz w:val="24"/>
          <w:szCs w:val="24"/>
        </w:rPr>
        <w:lastRenderedPageBreak/>
        <w:t xml:space="preserve">clases en zonas rurales a partir del 22 de abril y el 29 de junio retornaron el resto de las escuelas. En San Vicente y las </w:t>
      </w:r>
      <w:proofErr w:type="gramStart"/>
      <w:r w:rsidRPr="0083284F">
        <w:rPr>
          <w:rFonts w:ascii="Times New Roman" w:hAnsi="Times New Roman" w:cs="Times New Roman"/>
          <w:sz w:val="24"/>
          <w:szCs w:val="24"/>
        </w:rPr>
        <w:t>Granadinas</w:t>
      </w:r>
      <w:proofErr w:type="gramEnd"/>
      <w:r w:rsidRPr="0083284F">
        <w:rPr>
          <w:rFonts w:ascii="Times New Roman" w:hAnsi="Times New Roman" w:cs="Times New Roman"/>
          <w:sz w:val="24"/>
          <w:szCs w:val="24"/>
        </w:rPr>
        <w:t xml:space="preserve"> se comenzó un retorno parcializado desde el 25 de mayo y en el Ecuador se retornó a clases presenciales a partir del 1 de junio. En Belice, Granada y Santa Lucía hubo un retorno parcial a las clases presenciales en junio. Hasta la fecha de la revisión, la población estudiantil afectada por estas medidas en los 32 países llegó a superar los 165 millones de estudiantes de acuerdo con la información oficial de la UNESCO.</w:t>
      </w:r>
    </w:p>
    <w:p w14:paraId="2980BF92" w14:textId="4BACD3CE" w:rsidR="00B940B2" w:rsidRPr="0083284F" w:rsidRDefault="00B940B2"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En el marco de la suspensión de las clases presenciales, la necesidad de mantener la continuidad de</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los aprendizajes ha impuesto desafíos que los países han abordado mediante diferentes alternativas y</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soluciones en relación con los calendarios escolares y las formas de implementación del currículo, por</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medios no presenciales y con diversas formas de adaptación, priorización y ajuste. Para realizar los ajustes</w:t>
      </w:r>
      <w:r w:rsidRPr="0083284F">
        <w:rPr>
          <w:rFonts w:ascii="Times New Roman" w:hAnsi="Times New Roman" w:cs="Times New Roman"/>
          <w:sz w:val="24"/>
          <w:szCs w:val="24"/>
        </w:rPr>
        <w:cr/>
        <w:t>se requiere tomar en cuenta las características de los currículos nacionales o subnacionales,</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los recursos</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y capacidades del país para generar procesos de educación a distancia, los niveles de segregación y</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desigualdad educativa del país y el tiempo transcurrido del año escolar. Mientras que algunos países</w:t>
      </w:r>
      <w:r w:rsidRPr="0083284F">
        <w:rPr>
          <w:rFonts w:ascii="Times New Roman" w:hAnsi="Times New Roman" w:cs="Times New Roman"/>
          <w:sz w:val="24"/>
          <w:szCs w:val="24"/>
        </w:rPr>
        <w:cr/>
        <w:t>como México y la República Dominicana y algunos sectores del Ecuador y el Brasil se encontraban en la</w:t>
      </w:r>
      <w:r w:rsidR="00374C30" w:rsidRPr="0083284F">
        <w:rPr>
          <w:rFonts w:ascii="Times New Roman" w:hAnsi="Times New Roman" w:cs="Times New Roman"/>
          <w:sz w:val="24"/>
          <w:szCs w:val="24"/>
        </w:rPr>
        <w:t xml:space="preserve"> </w:t>
      </w:r>
      <w:r w:rsidRPr="0083284F">
        <w:rPr>
          <w:rFonts w:ascii="Times New Roman" w:hAnsi="Times New Roman" w:cs="Times New Roman"/>
          <w:sz w:val="24"/>
          <w:szCs w:val="24"/>
        </w:rPr>
        <w:t xml:space="preserve">mitad del año escolar cuando comenzó la pandemia, la gran mayoría se encontraba en el </w:t>
      </w:r>
      <w:r w:rsidR="00374C30" w:rsidRPr="0083284F">
        <w:rPr>
          <w:rFonts w:ascii="Times New Roman" w:hAnsi="Times New Roman" w:cs="Times New Roman"/>
          <w:sz w:val="24"/>
          <w:szCs w:val="24"/>
        </w:rPr>
        <w:t>inicio. Abierta</w:t>
      </w:r>
      <w:r w:rsidRPr="0083284F">
        <w:rPr>
          <w:rFonts w:ascii="Times New Roman" w:hAnsi="Times New Roman" w:cs="Times New Roman"/>
          <w:sz w:val="24"/>
          <w:szCs w:val="24"/>
        </w:rPr>
        <w:t xml:space="preserve"> o radio.</w:t>
      </w:r>
    </w:p>
    <w:p w14:paraId="426FD330" w14:textId="4B7A12FA" w:rsidR="00B940B2" w:rsidRPr="0083284F" w:rsidRDefault="00B940B2"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No obstante, pocos países de la región cuentan con estrategias nacionales de educación por medios digitales con un modelo que aproveche las TIC. A ello se suma un acceso desigual a conexiones a Internet, que se traduce en una distribución desigual de los recursos y las estrategias, lo que afecta principalmente a sectores de menores ingresos o mayor vulnerabilidad. Esta situación exige, por un lado, priorizar los esfuerzos dirigidos a mantener el contacto y la continuidad educativa de aquellas poblaciones que tienen mayores dificultades de conexión y se encuentran en condiciones sociales y económicas más desfavorables para mantener procesos educativos en el hogar y, por otro lado, proyectar procesos de recuperación y continuidad educativa para el momento de reapertura de las escuelas, que consideren las diferencias y las desigualdades que se profundizarán en este período.</w:t>
      </w:r>
    </w:p>
    <w:p w14:paraId="2536EF7E" w14:textId="7C10DA5C" w:rsidR="00460665" w:rsidRPr="0083284F" w:rsidRDefault="00460665"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 xml:space="preserve">Los ministerios están enfrentando estos desafíos con una capacidad de respuesta limitada. dependiendo de las restricciones impuestas durante la crisis, los propios ministerios </w:t>
      </w:r>
      <w:r w:rsidR="00374C30" w:rsidRPr="0083284F">
        <w:rPr>
          <w:rFonts w:ascii="Times New Roman" w:hAnsi="Times New Roman" w:cs="Times New Roman"/>
          <w:sz w:val="24"/>
          <w:szCs w:val="24"/>
        </w:rPr>
        <w:t>están</w:t>
      </w:r>
      <w:r w:rsidRPr="0083284F">
        <w:rPr>
          <w:rFonts w:ascii="Times New Roman" w:hAnsi="Times New Roman" w:cs="Times New Roman"/>
          <w:sz w:val="24"/>
          <w:szCs w:val="24"/>
        </w:rPr>
        <w:t xml:space="preserve"> </w:t>
      </w:r>
      <w:r w:rsidRPr="0083284F">
        <w:rPr>
          <w:rFonts w:ascii="Times New Roman" w:hAnsi="Times New Roman" w:cs="Times New Roman"/>
          <w:sz w:val="24"/>
          <w:szCs w:val="24"/>
        </w:rPr>
        <w:lastRenderedPageBreak/>
        <w:t>enfrentando dificultades para seguir operando, especialmente en los momentos de encierro al no poder hacer el trabajo de oficina. Como demostramos los distintos diagnósticos sobre los Sistemas de Información Gestión Educativa, la capacidad de muchos ministerios de la región de planificación y de gestionar el sistema educativo ya era limitado antes de la crisis. Hacerlo remotamente y durante la crisis está siendo más complejo. A todo esto, debe agregarse que la crisis económica que se prevé y la consecuente caída en ingresos fiscales, así como las demandas que seguirán en otros sectores como el sector salud, impondrán mayores restricciones presupuestarias al sector educación. Se prevé que esto tendrá un efecto sobre los presupuestos y las proyecciones de gasto de los ministerios de educación.</w:t>
      </w:r>
      <w:r w:rsidR="006D66CB" w:rsidRPr="0083284F">
        <w:rPr>
          <w:rFonts w:ascii="Times New Roman" w:hAnsi="Times New Roman" w:cs="Times New Roman"/>
          <w:sz w:val="24"/>
          <w:szCs w:val="24"/>
        </w:rPr>
        <w:br/>
        <w:t>Durante el cierre de las escuelas, es importante que las medidas adoptadas procurar mantener el vínculo estudiante-docente y familia-escuela; entregar contenido alineado al currículo escolar; y acompañar y monitorear the process of learning. Las soluciones adoptadas por los países se han focalizado principalmente en la entrega de contenido alineado al currículo escolar. La factibilidad de asegurar los otros dos aspectos del proceso de aprendizaje señalado ha dependido de las capacidades prexistentes de infraestructura y de los contenidos disponibles para construir un modelo rápido, de emergencia, de educación a distancia.</w:t>
      </w:r>
      <w:r w:rsidR="006D66CB" w:rsidRPr="0083284F">
        <w:rPr>
          <w:rFonts w:ascii="Times New Roman" w:hAnsi="Times New Roman" w:cs="Times New Roman"/>
          <w:sz w:val="24"/>
          <w:szCs w:val="24"/>
        </w:rPr>
        <w:br/>
        <w:t>La pandemia ha transformado los contextos de implementación del currículo, no solo por el uso de plataformas y la necesidad de considerar condiciones diferentes a aquellas para las cuales el currículo fue diseñado, sino también porque existen aprendizajes y competencias que cobran mayor relevancia en el actual contexto. Es preciso tomar una serie de decisiones y contar con recursos que desafían a los sistemas escolares, los centros educativos y los docentes. Tal es el caso de los ajustes y las priorizaciones curriculares y la contextualización necesaria para asegurar la pertinencia de los contenidos a la situación de emergencia que se vive, a partir del consenso entre todos los actores relevantes. Es igualmente, importante que en estos ajustes se prioricen las competencias y los valores que se han revelado como prioritarios en la actual coyuntura: la solidaridad, el aprendizaje autónomo, el cuidado propio y de otros, las competencias socioemocionales, la salud y la resiliencia, entre otros</w:t>
      </w:r>
      <w:r w:rsidR="00F85495" w:rsidRPr="0083284F">
        <w:rPr>
          <w:rFonts w:ascii="Times New Roman" w:hAnsi="Times New Roman" w:cs="Times New Roman"/>
          <w:sz w:val="24"/>
          <w:szCs w:val="24"/>
        </w:rPr>
        <w:t xml:space="preserve"> </w:t>
      </w:r>
      <w:r w:rsidR="00F85495" w:rsidRPr="0083284F">
        <w:rPr>
          <w:rFonts w:ascii="Times New Roman" w:hAnsi="Times New Roman" w:cs="Times New Roman"/>
          <w:sz w:val="24"/>
          <w:szCs w:val="24"/>
        </w:rPr>
        <w:br/>
        <w:t xml:space="preserve">Aunque los países no contaban con una estrategia nacional de educación a distancia consolidada, menos aún para una emergencia, han hecho esfuerzos significativos con base en sus capacidades previas. En este sentido, Uruguay ha aprovechado la infraestructura tecnológica que se desarrolló a través del Plan Ceibal (2006), y hoy es el único país de la región que cuenta con </w:t>
      </w:r>
      <w:r w:rsidR="00F85495" w:rsidRPr="0083284F">
        <w:rPr>
          <w:rFonts w:ascii="Times New Roman" w:hAnsi="Times New Roman" w:cs="Times New Roman"/>
          <w:sz w:val="24"/>
          <w:szCs w:val="24"/>
        </w:rPr>
        <w:lastRenderedPageBreak/>
        <w:t>una plataforma para la administración integrada de los aprendizajes de los estudiantes. esto le ha permitido pasar de las aulas de clase convencionales a las virtuales en forma casi inmediato 20, aunque con desafíos para llegar a las poblaciones más vulnerables, cuya conectividad a internet es</w:t>
      </w:r>
      <w:r w:rsidR="00184854">
        <w:rPr>
          <w:rFonts w:ascii="Times New Roman" w:hAnsi="Times New Roman" w:cs="Times New Roman"/>
          <w:sz w:val="24"/>
          <w:szCs w:val="24"/>
        </w:rPr>
        <w:t xml:space="preserve"> </w:t>
      </w:r>
      <w:r w:rsidR="00F85495" w:rsidRPr="0083284F">
        <w:rPr>
          <w:rFonts w:ascii="Times New Roman" w:hAnsi="Times New Roman" w:cs="Times New Roman"/>
          <w:sz w:val="24"/>
          <w:szCs w:val="24"/>
        </w:rPr>
        <w:t>limitada.</w:t>
      </w:r>
      <w:r w:rsidR="00F85495" w:rsidRPr="0083284F">
        <w:rPr>
          <w:rFonts w:ascii="Times New Roman" w:hAnsi="Times New Roman" w:cs="Times New Roman"/>
          <w:sz w:val="24"/>
          <w:szCs w:val="24"/>
        </w:rPr>
        <w:br/>
        <w:t>Un aspecto controvertido y complejo se refiere a los criterios y enfoques para la toma de decisiones respecto a los aprendizajes prioritarios y la forma de realizar ajustes. Una alternativa es la lógica de la selección de aquellos contenidos más relevantes, que se priorizan sobre otros. Otra perspectiva es integrar los contenidos y objetivos de aprendizaje en núcleos temáticos interdisciplinarios que hagan posible abordar diversas asignaturas a la vez por medio de tópicos que resulten especialmente pertinentes y relevantes para el alumnado en el contexto actual, mediante metodologías de proyectos o investigaciones que permitan un abordaje integrado de los aprendizajes. Este enfoque requiere valorar la autonomía docente y desarrollar competencias sofisticadas entre las profesoras y los profesores. Algunos países han diseñado propuestas de priorización curricular que incluyen un conjunto reducido de aprendizajes esenciales en las diferentes disciplinas, transitando desde la priorización curricular al currículo vigente y modularizando los contenidos por nivel, desde los imprescindibles hasta los nuevos aprendizajes asociados a objetivos integrados o significativos que puedan articularse entre asignaturas. Por su parte, El Salvador, Chile, Perú y México, por ejemplo, cuentan con una biblioteca digital amplía con textos, libros escolares de referencia, narrativos e informativos, guías para docentes y padres de familia, así como cuadernos de trabajo para estudiantes en formatos digitales descargables. Dichos materiales están provistos periódicamente a las escuelas en formato impreso y puestos a disposición en sus portales en forma digital. Los materiales están definidos alineados a las distintas áreas curriculares por materia y grado. Cuentan también con otros contenidos digitales como juegos alineados al currículo disponible para descargar o utilizar en línea.</w:t>
      </w:r>
      <w:r w:rsidR="00374C30" w:rsidRPr="0083284F">
        <w:rPr>
          <w:rFonts w:ascii="Times New Roman" w:hAnsi="Times New Roman" w:cs="Times New Roman"/>
          <w:sz w:val="24"/>
          <w:szCs w:val="24"/>
        </w:rPr>
        <w:t xml:space="preserve"> En la adaptación, la flexibilización y la contextualización curricular se deben considerar elementos como la priorización de objetivos de aprendizaje y contenidos que permitan lograr una mejor comprensión de la crisis y responder a ella de mejor forma, incorporando aspectos relativos al cuidado y la salud, el pensamiento crítico y reflexivo en torno a informaciones y noticias, la comprensión de dinámicas sociales y económicas, y el fortalecimiento de conductas de empatía, tolerancia y no discriminación, entre otros. Por otro lado, se debe buscar un equilibrio entre la identificación de competencias centrales, que serán necesarias para continuar </w:t>
      </w:r>
      <w:r w:rsidR="00374C30" w:rsidRPr="0083284F">
        <w:rPr>
          <w:rFonts w:ascii="Times New Roman" w:hAnsi="Times New Roman" w:cs="Times New Roman"/>
          <w:sz w:val="24"/>
          <w:szCs w:val="24"/>
        </w:rPr>
        <w:lastRenderedPageBreak/>
        <w:t>aprendiendo, y la profundización del carácter integral y humanista de la educación, sin ceder a la presión por fortalecer solamente los aprendizajes instrumentales.</w:t>
      </w:r>
      <w:r w:rsidR="00773FA4" w:rsidRPr="0083284F">
        <w:rPr>
          <w:rFonts w:ascii="Times New Roman" w:hAnsi="Times New Roman" w:cs="Times New Roman"/>
          <w:sz w:val="24"/>
          <w:szCs w:val="24"/>
        </w:rPr>
        <w:t xml:space="preserve"> Asimismo, los ajustes curriculares y los recursos pedagógicos que se elaboren deben considerar las necesidades de colectivos que tienen requerimientos específicos. Por ejemplo, es fundamental realizar las adecuaciones y proveer los apoyos necesarios para estudiantes con discapacidad o en condiciones y situaciones diversas que han dificultado la continuación de estudios. También se debe abordar la diversidad lingüística y cultural de poblaciones migrantes y de comunidades indígenas. Igualmente, es necesario incorporar un enfoque de género, que permita visibilizar y erradicar situaciones de desigualdad o violencia de género que podrían estar viéndose profundizadas en el contexto de confinamiento. Por ahora, no es posible determinar con certeza el impacto que tendrá la crisis en la implementación curricular en los distintos grados de la enseñanza primaria y secundaria, pero se prevé una profundización de las diferencias en lo referente a los logros de aprendizaje, debido a las desigualdades educativas imperantes y a un acceso desigual a la cobertura curricular.</w:t>
      </w:r>
    </w:p>
    <w:p w14:paraId="364C9304" w14:textId="26529940" w:rsidR="0000058B" w:rsidRPr="0083284F" w:rsidRDefault="0000058B" w:rsidP="005F4B77">
      <w:pPr>
        <w:spacing w:line="360" w:lineRule="auto"/>
        <w:jc w:val="both"/>
        <w:rPr>
          <w:rFonts w:ascii="Times New Roman" w:hAnsi="Times New Roman" w:cs="Times New Roman"/>
          <w:b/>
          <w:bCs/>
          <w:sz w:val="24"/>
          <w:szCs w:val="24"/>
        </w:rPr>
      </w:pPr>
      <w:r w:rsidRPr="0083284F">
        <w:rPr>
          <w:rFonts w:ascii="Times New Roman" w:hAnsi="Times New Roman" w:cs="Times New Roman"/>
          <w:b/>
          <w:bCs/>
          <w:sz w:val="24"/>
          <w:szCs w:val="24"/>
        </w:rPr>
        <w:t>Bases teóricas:</w:t>
      </w:r>
      <w:r w:rsidR="003A6F3E" w:rsidRPr="0083284F">
        <w:rPr>
          <w:rFonts w:ascii="Times New Roman" w:hAnsi="Times New Roman" w:cs="Times New Roman"/>
          <w:b/>
          <w:bCs/>
          <w:sz w:val="24"/>
          <w:szCs w:val="24"/>
        </w:rPr>
        <w:t xml:space="preserve"> </w:t>
      </w:r>
    </w:p>
    <w:p w14:paraId="49CE026B" w14:textId="0DF06F69" w:rsidR="00F4041B" w:rsidRPr="0083284F" w:rsidRDefault="00F4041B" w:rsidP="005F4B77">
      <w:pPr>
        <w:spacing w:line="360" w:lineRule="auto"/>
        <w:jc w:val="both"/>
        <w:rPr>
          <w:rFonts w:ascii="Times New Roman" w:hAnsi="Times New Roman" w:cs="Times New Roman"/>
          <w:sz w:val="24"/>
          <w:szCs w:val="24"/>
        </w:rPr>
      </w:pPr>
      <w:r w:rsidRPr="0083284F">
        <w:rPr>
          <w:rFonts w:ascii="Times New Roman" w:hAnsi="Times New Roman" w:cs="Times New Roman"/>
          <w:sz w:val="24"/>
          <w:szCs w:val="24"/>
        </w:rPr>
        <w:t>Las respuestas que han implementado los diversos países han mostrado que existen iniciativas</w:t>
      </w:r>
      <w:r w:rsidRPr="0083284F">
        <w:rPr>
          <w:rFonts w:ascii="Times New Roman" w:hAnsi="Times New Roman" w:cs="Times New Roman"/>
          <w:sz w:val="24"/>
          <w:szCs w:val="24"/>
        </w:rPr>
        <w:cr/>
        <w:t>innovadoras y prácticas prometedoras, así como importantes avances en un tiempo récord para</w:t>
      </w:r>
      <w:r w:rsidRPr="0083284F">
        <w:rPr>
          <w:rFonts w:ascii="Times New Roman" w:hAnsi="Times New Roman" w:cs="Times New Roman"/>
          <w:sz w:val="24"/>
          <w:szCs w:val="24"/>
        </w:rPr>
        <w:cr/>
        <w:t>garantizar la continuidad del aprendizaje. Además, se observa que los sistemas educativos nacionales se enfrentan a problemas y desafíos sistémicos que exigen la aplicación de estrategias a mediano y largo plazo</w:t>
      </w:r>
    </w:p>
    <w:p w14:paraId="42F53399" w14:textId="10288254" w:rsidR="00184854" w:rsidRDefault="00F4041B" w:rsidP="005F4B77">
      <w:pPr>
        <w:spacing w:line="360" w:lineRule="auto"/>
        <w:jc w:val="both"/>
        <w:rPr>
          <w:rFonts w:ascii="Times New Roman" w:hAnsi="Times New Roman" w:cs="Times New Roman"/>
          <w:sz w:val="24"/>
          <w:szCs w:val="24"/>
        </w:rPr>
      </w:pPr>
      <w:r w:rsidRPr="0083284F">
        <w:rPr>
          <w:rFonts w:ascii="Times New Roman" w:hAnsi="Times New Roman" w:cs="Times New Roman"/>
          <w:b/>
          <w:bCs/>
          <w:sz w:val="24"/>
          <w:szCs w:val="24"/>
        </w:rPr>
        <w:t>Palabras claves:</w:t>
      </w:r>
      <w:r w:rsidRPr="0083284F">
        <w:rPr>
          <w:rFonts w:ascii="Times New Roman" w:hAnsi="Times New Roman" w:cs="Times New Roman"/>
          <w:sz w:val="24"/>
          <w:szCs w:val="24"/>
        </w:rPr>
        <w:t xml:space="preserve"> </w:t>
      </w:r>
      <w:r w:rsidR="000E5F9B" w:rsidRPr="0083284F">
        <w:rPr>
          <w:rFonts w:ascii="Times New Roman" w:hAnsi="Times New Roman" w:cs="Times New Roman"/>
          <w:sz w:val="24"/>
          <w:szCs w:val="24"/>
        </w:rPr>
        <w:t>Educación</w:t>
      </w:r>
      <w:r w:rsidRPr="0083284F">
        <w:rPr>
          <w:rFonts w:ascii="Times New Roman" w:hAnsi="Times New Roman" w:cs="Times New Roman"/>
          <w:sz w:val="24"/>
          <w:szCs w:val="24"/>
        </w:rPr>
        <w:t xml:space="preserve">, Covic 19, </w:t>
      </w:r>
      <w:r w:rsidR="000E5F9B" w:rsidRPr="0083284F">
        <w:rPr>
          <w:rFonts w:ascii="Times New Roman" w:hAnsi="Times New Roman" w:cs="Times New Roman"/>
          <w:sz w:val="24"/>
          <w:szCs w:val="24"/>
        </w:rPr>
        <w:t>Pandemia</w:t>
      </w:r>
      <w:r w:rsidRPr="0083284F">
        <w:rPr>
          <w:rFonts w:ascii="Times New Roman" w:hAnsi="Times New Roman" w:cs="Times New Roman"/>
          <w:sz w:val="24"/>
          <w:szCs w:val="24"/>
        </w:rPr>
        <w:t>,</w:t>
      </w:r>
      <w:r w:rsidR="000E5F9B" w:rsidRPr="0083284F">
        <w:rPr>
          <w:rFonts w:ascii="Times New Roman" w:hAnsi="Times New Roman" w:cs="Times New Roman"/>
          <w:sz w:val="24"/>
          <w:szCs w:val="24"/>
        </w:rPr>
        <w:t xml:space="preserve"> Resiliencia, Clases, Objetivo, Desarrollo, Crisis, Confinamiento, Salud</w:t>
      </w:r>
      <w:r w:rsidR="00103642" w:rsidRPr="0083284F">
        <w:rPr>
          <w:rFonts w:ascii="Times New Roman" w:hAnsi="Times New Roman" w:cs="Times New Roman"/>
          <w:sz w:val="24"/>
          <w:szCs w:val="24"/>
        </w:rPr>
        <w:t xml:space="preserve">, Deserción, En línea, Virtual, Plataformas, Aprendizaje </w:t>
      </w:r>
    </w:p>
    <w:p w14:paraId="7D1C8EC7" w14:textId="4B9E6652" w:rsidR="00184854" w:rsidRDefault="00184854" w:rsidP="005F4B77">
      <w:pPr>
        <w:spacing w:line="360" w:lineRule="auto"/>
        <w:jc w:val="both"/>
        <w:rPr>
          <w:rFonts w:ascii="Times New Roman" w:hAnsi="Times New Roman" w:cs="Times New Roman"/>
          <w:sz w:val="24"/>
          <w:szCs w:val="24"/>
        </w:rPr>
      </w:pPr>
    </w:p>
    <w:p w14:paraId="16C845B6" w14:textId="1C271C81" w:rsidR="00184854" w:rsidRDefault="00184854" w:rsidP="005F4B77">
      <w:pPr>
        <w:spacing w:line="360" w:lineRule="auto"/>
        <w:jc w:val="both"/>
        <w:rPr>
          <w:rFonts w:ascii="Times New Roman" w:hAnsi="Times New Roman" w:cs="Times New Roman"/>
          <w:sz w:val="24"/>
          <w:szCs w:val="24"/>
        </w:rPr>
      </w:pPr>
    </w:p>
    <w:p w14:paraId="237D3BFC" w14:textId="4E3710BD" w:rsidR="00184854" w:rsidRDefault="00184854" w:rsidP="005F4B77">
      <w:pPr>
        <w:spacing w:line="360" w:lineRule="auto"/>
        <w:jc w:val="both"/>
        <w:rPr>
          <w:rFonts w:ascii="Times New Roman" w:hAnsi="Times New Roman" w:cs="Times New Roman"/>
          <w:sz w:val="24"/>
          <w:szCs w:val="24"/>
        </w:rPr>
      </w:pPr>
    </w:p>
    <w:p w14:paraId="3189F455" w14:textId="146F3A45" w:rsidR="005F4B77" w:rsidRDefault="005F4B77" w:rsidP="005F4B77">
      <w:pPr>
        <w:spacing w:line="360" w:lineRule="auto"/>
        <w:jc w:val="both"/>
        <w:rPr>
          <w:rFonts w:ascii="Times New Roman" w:hAnsi="Times New Roman" w:cs="Times New Roman"/>
          <w:sz w:val="24"/>
          <w:szCs w:val="24"/>
        </w:rPr>
      </w:pPr>
    </w:p>
    <w:p w14:paraId="0A1B374C" w14:textId="512503FF" w:rsidR="005F4B77" w:rsidRDefault="005F4B77" w:rsidP="005F4B77">
      <w:pPr>
        <w:spacing w:line="360" w:lineRule="auto"/>
        <w:jc w:val="both"/>
        <w:rPr>
          <w:rFonts w:ascii="Times New Roman" w:hAnsi="Times New Roman" w:cs="Times New Roman"/>
          <w:sz w:val="24"/>
          <w:szCs w:val="24"/>
        </w:rPr>
      </w:pPr>
    </w:p>
    <w:p w14:paraId="14173FFB" w14:textId="77777777" w:rsidR="005F4B77" w:rsidRDefault="005F4B77" w:rsidP="005F4B77">
      <w:pPr>
        <w:spacing w:line="360" w:lineRule="auto"/>
        <w:jc w:val="both"/>
        <w:rPr>
          <w:rFonts w:ascii="Times New Roman" w:hAnsi="Times New Roman" w:cs="Times New Roman"/>
          <w:sz w:val="24"/>
          <w:szCs w:val="24"/>
        </w:rPr>
      </w:pPr>
    </w:p>
    <w:p w14:paraId="72637761" w14:textId="77777777" w:rsidR="00184854" w:rsidRPr="00F02C91" w:rsidRDefault="00184854" w:rsidP="005F4B77">
      <w:pPr>
        <w:spacing w:line="360" w:lineRule="auto"/>
        <w:jc w:val="both"/>
        <w:rPr>
          <w:rFonts w:ascii="Times New Roman" w:hAnsi="Times New Roman" w:cs="Times New Roman"/>
          <w:b/>
          <w:bCs/>
          <w:sz w:val="24"/>
          <w:szCs w:val="24"/>
        </w:rPr>
      </w:pPr>
      <w:r w:rsidRPr="00F02C91">
        <w:rPr>
          <w:rFonts w:ascii="Times New Roman" w:hAnsi="Times New Roman" w:cs="Times New Roman"/>
          <w:b/>
          <w:bCs/>
          <w:sz w:val="24"/>
          <w:szCs w:val="24"/>
        </w:rPr>
        <w:lastRenderedPageBreak/>
        <w:t>4.2. Definir el problema y/o caso:</w:t>
      </w:r>
    </w:p>
    <w:p w14:paraId="6CE7C377" w14:textId="77777777" w:rsidR="00184854" w:rsidRDefault="00184854" w:rsidP="005F4B77">
      <w:pPr>
        <w:spacing w:line="360" w:lineRule="auto"/>
        <w:jc w:val="both"/>
        <w:rPr>
          <w:rFonts w:ascii="Times New Roman" w:hAnsi="Times New Roman" w:cs="Times New Roman"/>
          <w:sz w:val="24"/>
          <w:szCs w:val="24"/>
        </w:rPr>
      </w:pPr>
      <w:r w:rsidRPr="00F02C91">
        <w:rPr>
          <w:rFonts w:ascii="Times New Roman" w:hAnsi="Times New Roman" w:cs="Times New Roman"/>
          <w:sz w:val="24"/>
          <w:szCs w:val="24"/>
        </w:rPr>
        <w:t xml:space="preserve">La pandemia de COVID-19 y la cuarentena causa en cada familia múltiples emociones, las condiciones materiales de estudio varían en cada hogar, el acceso a internet y el contar con dispositivos necesarios: computadora, laptops, celulares o </w:t>
      </w:r>
      <w:proofErr w:type="spellStart"/>
      <w:r w:rsidRPr="00F02C91">
        <w:rPr>
          <w:rFonts w:ascii="Times New Roman" w:hAnsi="Times New Roman" w:cs="Times New Roman"/>
          <w:sz w:val="24"/>
          <w:szCs w:val="24"/>
        </w:rPr>
        <w:t>tablets</w:t>
      </w:r>
      <w:proofErr w:type="spellEnd"/>
      <w:r w:rsidRPr="00F02C91">
        <w:rPr>
          <w:rFonts w:ascii="Times New Roman" w:hAnsi="Times New Roman" w:cs="Times New Roman"/>
          <w:sz w:val="24"/>
          <w:szCs w:val="24"/>
        </w:rPr>
        <w:t xml:space="preserve"> es un desafío</w:t>
      </w:r>
      <w:r>
        <w:rPr>
          <w:rFonts w:ascii="Times New Roman" w:hAnsi="Times New Roman" w:cs="Times New Roman"/>
          <w:sz w:val="24"/>
          <w:szCs w:val="24"/>
        </w:rPr>
        <w:t xml:space="preserve">. </w:t>
      </w:r>
      <w:r w:rsidRPr="00F02C91">
        <w:rPr>
          <w:rFonts w:ascii="Times New Roman" w:hAnsi="Times New Roman" w:cs="Times New Roman"/>
          <w:sz w:val="24"/>
          <w:szCs w:val="24"/>
        </w:rPr>
        <w:t>Está pandemia nos vino a afectar casi a la mayoría de personas porque en algunos de las personas no tiene la capacidad suficiente para comprar dispositivos que se requiere Durante las clases virtuales etc. pasa lo mismo con lo urbano y rural, pero pese a esa complejidad, el aprendizaje debe continuar</w:t>
      </w:r>
      <w:r>
        <w:rPr>
          <w:rFonts w:ascii="Times New Roman" w:hAnsi="Times New Roman" w:cs="Times New Roman"/>
          <w:sz w:val="24"/>
          <w:szCs w:val="24"/>
        </w:rPr>
        <w:t>.</w:t>
      </w:r>
    </w:p>
    <w:p w14:paraId="1242968F" w14:textId="52BE1107" w:rsidR="00184854" w:rsidRDefault="00184854" w:rsidP="005F4B7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3102B6">
        <w:rPr>
          <w:rFonts w:ascii="Times New Roman" w:hAnsi="Times New Roman" w:cs="Times New Roman"/>
          <w:sz w:val="24"/>
          <w:szCs w:val="24"/>
        </w:rPr>
        <w:t>l factor de</w:t>
      </w:r>
      <w:r>
        <w:rPr>
          <w:rFonts w:ascii="Times New Roman" w:hAnsi="Times New Roman" w:cs="Times New Roman"/>
          <w:sz w:val="24"/>
          <w:szCs w:val="24"/>
        </w:rPr>
        <w:t xml:space="preserve"> la</w:t>
      </w:r>
      <w:r w:rsidRPr="003102B6">
        <w:rPr>
          <w:rFonts w:ascii="Times New Roman" w:hAnsi="Times New Roman" w:cs="Times New Roman"/>
          <w:sz w:val="24"/>
          <w:szCs w:val="24"/>
        </w:rPr>
        <w:t xml:space="preserve"> educación es muy escaso es decir que la prioridad en dar un estudio solido a los estudiantes es nula ya que hay aldeas y municipios que sus establecimientos están en malas condiciones </w:t>
      </w:r>
      <w:r>
        <w:rPr>
          <w:rFonts w:ascii="Times New Roman" w:hAnsi="Times New Roman" w:cs="Times New Roman"/>
          <w:sz w:val="24"/>
          <w:szCs w:val="24"/>
        </w:rPr>
        <w:t>e</w:t>
      </w:r>
      <w:r w:rsidRPr="003102B6">
        <w:rPr>
          <w:rFonts w:ascii="Times New Roman" w:hAnsi="Times New Roman" w:cs="Times New Roman"/>
          <w:sz w:val="24"/>
          <w:szCs w:val="24"/>
        </w:rPr>
        <w:t xml:space="preserve"> incluso establecimientos sin servicio sanitario.  La ayuda que se brindó a los estudiantes durante la pandemia no fue algo que fuera anormal ya que simplemente se dio la refacciones como habitualmente se entregaba a</w:t>
      </w:r>
      <w:r>
        <w:rPr>
          <w:rFonts w:ascii="Times New Roman" w:hAnsi="Times New Roman" w:cs="Times New Roman"/>
          <w:sz w:val="24"/>
          <w:szCs w:val="24"/>
        </w:rPr>
        <w:t xml:space="preserve"> </w:t>
      </w:r>
      <w:r w:rsidRPr="003102B6">
        <w:rPr>
          <w:rFonts w:ascii="Times New Roman" w:hAnsi="Times New Roman" w:cs="Times New Roman"/>
          <w:sz w:val="24"/>
          <w:szCs w:val="24"/>
        </w:rPr>
        <w:t>las escuelas.</w:t>
      </w:r>
      <w:r>
        <w:rPr>
          <w:rFonts w:ascii="Times New Roman" w:hAnsi="Times New Roman" w:cs="Times New Roman"/>
          <w:sz w:val="24"/>
          <w:szCs w:val="24"/>
        </w:rPr>
        <w:t xml:space="preserve"> El impacto del COVID-19 en la educación es enorme, según los entrevistados más del 90% de la población estudiantil ha sido afectada, la mayor parte de personas que son la población estudiantil no va más a centros de desarrollo infantil, escuelas y Universidades. </w:t>
      </w:r>
      <w:r w:rsidRPr="003102B6">
        <w:rPr>
          <w:rFonts w:ascii="Times New Roman" w:hAnsi="Times New Roman" w:cs="Times New Roman"/>
          <w:sz w:val="24"/>
          <w:szCs w:val="24"/>
        </w:rPr>
        <w:t>Los padres se han convertido en el brazo derecho y fundamental de los profesores</w:t>
      </w:r>
      <w:r>
        <w:rPr>
          <w:rFonts w:ascii="Times New Roman" w:hAnsi="Times New Roman" w:cs="Times New Roman"/>
          <w:sz w:val="24"/>
          <w:szCs w:val="24"/>
        </w:rPr>
        <w:t xml:space="preserve"> para el desarrollo de los estudiantes. </w:t>
      </w:r>
    </w:p>
    <w:p w14:paraId="1F9695D6" w14:textId="77777777" w:rsidR="00184854" w:rsidRDefault="00184854" w:rsidP="00F02C91">
      <w:pPr>
        <w:spacing w:line="360" w:lineRule="auto"/>
        <w:jc w:val="both"/>
        <w:rPr>
          <w:rFonts w:ascii="Times New Roman" w:hAnsi="Times New Roman" w:cs="Times New Roman"/>
          <w:sz w:val="24"/>
          <w:szCs w:val="24"/>
        </w:rPr>
      </w:pPr>
    </w:p>
    <w:p w14:paraId="6EFEFAD2" w14:textId="77777777" w:rsidR="00184854" w:rsidRDefault="00184854" w:rsidP="00F02C91">
      <w:pPr>
        <w:spacing w:line="360" w:lineRule="auto"/>
        <w:jc w:val="both"/>
        <w:rPr>
          <w:rFonts w:ascii="Times New Roman" w:hAnsi="Times New Roman" w:cs="Times New Roman"/>
          <w:sz w:val="24"/>
          <w:szCs w:val="24"/>
        </w:rPr>
      </w:pPr>
    </w:p>
    <w:p w14:paraId="7D5A66D9" w14:textId="77777777" w:rsidR="00184854" w:rsidRDefault="00184854"/>
    <w:p w14:paraId="40C379EC" w14:textId="77777777" w:rsidR="00184854" w:rsidRPr="0083284F" w:rsidRDefault="00184854" w:rsidP="0083284F">
      <w:pPr>
        <w:spacing w:line="360" w:lineRule="auto"/>
        <w:rPr>
          <w:rFonts w:ascii="Times New Roman" w:hAnsi="Times New Roman" w:cs="Times New Roman"/>
          <w:sz w:val="24"/>
          <w:szCs w:val="24"/>
        </w:rPr>
      </w:pPr>
    </w:p>
    <w:p w14:paraId="292A4C5C" w14:textId="25060891" w:rsidR="00773FA4" w:rsidRPr="0083284F" w:rsidRDefault="00773FA4" w:rsidP="0083284F">
      <w:pPr>
        <w:spacing w:line="360" w:lineRule="auto"/>
        <w:rPr>
          <w:rFonts w:ascii="Times New Roman" w:hAnsi="Times New Roman" w:cs="Times New Roman"/>
          <w:b/>
          <w:bCs/>
          <w:sz w:val="24"/>
          <w:szCs w:val="24"/>
        </w:rPr>
      </w:pPr>
    </w:p>
    <w:p w14:paraId="571D95BB" w14:textId="641188E4" w:rsidR="00773FA4" w:rsidRPr="0083284F" w:rsidRDefault="00773FA4" w:rsidP="0083284F">
      <w:pPr>
        <w:spacing w:line="360" w:lineRule="auto"/>
        <w:rPr>
          <w:rFonts w:ascii="Times New Roman" w:hAnsi="Times New Roman" w:cs="Times New Roman"/>
          <w:b/>
          <w:bCs/>
          <w:sz w:val="24"/>
          <w:szCs w:val="24"/>
        </w:rPr>
      </w:pPr>
    </w:p>
    <w:p w14:paraId="12CC3F94" w14:textId="6CF3295A" w:rsidR="00265DBB" w:rsidRPr="00C56A93" w:rsidRDefault="00265DBB" w:rsidP="00C56A93">
      <w:pPr>
        <w:spacing w:line="360" w:lineRule="auto"/>
        <w:rPr>
          <w:rFonts w:ascii="Times New Roman" w:hAnsi="Times New Roman" w:cs="Times New Roman"/>
          <w:b/>
          <w:bCs/>
          <w:sz w:val="24"/>
          <w:szCs w:val="24"/>
        </w:rPr>
      </w:pPr>
      <w:r w:rsidRPr="0083284F">
        <w:t>.</w:t>
      </w:r>
    </w:p>
    <w:sectPr w:rsidR="00265DBB" w:rsidRPr="00C56A93" w:rsidSect="0083284F">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DD6"/>
    <w:rsid w:val="0000058B"/>
    <w:rsid w:val="000075BF"/>
    <w:rsid w:val="000E5F9B"/>
    <w:rsid w:val="00103642"/>
    <w:rsid w:val="00184854"/>
    <w:rsid w:val="001F63D4"/>
    <w:rsid w:val="00203C6F"/>
    <w:rsid w:val="00247F26"/>
    <w:rsid w:val="00265DBB"/>
    <w:rsid w:val="00374C30"/>
    <w:rsid w:val="003A6F3E"/>
    <w:rsid w:val="00460665"/>
    <w:rsid w:val="00486E1B"/>
    <w:rsid w:val="00545EF2"/>
    <w:rsid w:val="0054640B"/>
    <w:rsid w:val="005677E4"/>
    <w:rsid w:val="005F4B77"/>
    <w:rsid w:val="006D66CB"/>
    <w:rsid w:val="00723C90"/>
    <w:rsid w:val="00773FA4"/>
    <w:rsid w:val="00822E53"/>
    <w:rsid w:val="0083284F"/>
    <w:rsid w:val="00A247A4"/>
    <w:rsid w:val="00AB5DD6"/>
    <w:rsid w:val="00B940B2"/>
    <w:rsid w:val="00BC5E85"/>
    <w:rsid w:val="00C56A93"/>
    <w:rsid w:val="00CF6632"/>
    <w:rsid w:val="00DA4BF8"/>
    <w:rsid w:val="00DF3DE0"/>
    <w:rsid w:val="00E14161"/>
    <w:rsid w:val="00F4041B"/>
    <w:rsid w:val="00F43366"/>
    <w:rsid w:val="00F45613"/>
    <w:rsid w:val="00F85495"/>
    <w:rsid w:val="00FC59D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C0D5"/>
  <w15:chartTrackingRefBased/>
  <w15:docId w15:val="{D6DC6CFE-ED38-47DE-A677-A84CC9AC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B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3284F"/>
    <w:rPr>
      <w:sz w:val="16"/>
      <w:szCs w:val="16"/>
    </w:rPr>
  </w:style>
  <w:style w:type="paragraph" w:styleId="Textocomentario">
    <w:name w:val="annotation text"/>
    <w:basedOn w:val="Normal"/>
    <w:link w:val="TextocomentarioCar"/>
    <w:uiPriority w:val="99"/>
    <w:semiHidden/>
    <w:unhideWhenUsed/>
    <w:rsid w:val="008328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284F"/>
    <w:rPr>
      <w:sz w:val="20"/>
      <w:szCs w:val="20"/>
    </w:rPr>
  </w:style>
  <w:style w:type="paragraph" w:styleId="Asuntodelcomentario">
    <w:name w:val="annotation subject"/>
    <w:basedOn w:val="Textocomentario"/>
    <w:next w:val="Textocomentario"/>
    <w:link w:val="AsuntodelcomentarioCar"/>
    <w:uiPriority w:val="99"/>
    <w:semiHidden/>
    <w:unhideWhenUsed/>
    <w:rsid w:val="0083284F"/>
    <w:rPr>
      <w:b/>
      <w:bCs/>
    </w:rPr>
  </w:style>
  <w:style w:type="character" w:customStyle="1" w:styleId="AsuntodelcomentarioCar">
    <w:name w:val="Asunto del comentario Car"/>
    <w:basedOn w:val="TextocomentarioCar"/>
    <w:link w:val="Asuntodelcomentario"/>
    <w:uiPriority w:val="99"/>
    <w:semiHidden/>
    <w:rsid w:val="00832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3783</Words>
  <Characters>20808</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edwin cuztal</dc:creator>
  <cp:keywords/>
  <dc:description/>
  <cp:lastModifiedBy>USUARIO</cp:lastModifiedBy>
  <cp:revision>2</cp:revision>
  <dcterms:created xsi:type="dcterms:W3CDTF">2022-06-29T04:03:00Z</dcterms:created>
  <dcterms:modified xsi:type="dcterms:W3CDTF">2022-06-29T04:03:00Z</dcterms:modified>
</cp:coreProperties>
</file>