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8A3316F" w14:textId="6B8AEA69" w:rsidR="00131CBE" w:rsidRDefault="008E249A" w:rsidP="008E249A">
      <w:pPr>
        <w:jc w:val="center"/>
        <w:rPr>
          <w:rFonts w:ascii="Arial" w:hAnsi="Arial" w:cs="Arial"/>
          <w:color w:val="FF0000"/>
          <w:sz w:val="28"/>
          <w:szCs w:val="28"/>
        </w:rPr>
      </w:pPr>
      <w:r w:rsidRPr="008E249A">
        <w:rPr>
          <w:rFonts w:ascii="Arial" w:hAnsi="Arial" w:cs="Arial"/>
          <w:color w:val="FF0000"/>
          <w:sz w:val="28"/>
          <w:szCs w:val="28"/>
        </w:rPr>
        <w:t>Ministerio de Gobernación.</w:t>
      </w:r>
    </w:p>
    <w:p w14:paraId="54B9ED00" w14:textId="6B878A2F" w:rsidR="008E249A" w:rsidRPr="008E249A" w:rsidRDefault="008E249A" w:rsidP="008E249A">
      <w:pPr>
        <w:jc w:val="both"/>
        <w:rPr>
          <w:rFonts w:ascii="Arial" w:hAnsi="Arial" w:cs="Arial"/>
          <w:sz w:val="24"/>
          <w:szCs w:val="24"/>
        </w:rPr>
      </w:pPr>
      <w:r w:rsidRPr="008E249A">
        <w:rPr>
          <w:rFonts w:ascii="Arial" w:hAnsi="Arial" w:cs="Arial"/>
          <w:sz w:val="24"/>
          <w:szCs w:val="24"/>
        </w:rPr>
        <w:t xml:space="preserve">El Ministerio de Gobernación (MINGOB) es el Ministerio del Gobierno de Guatemala responsable de la seguridad del país, con lo cual le corresponde formular las políticas, cumplir y hacer cumplir el régimen jurídico relativo al mantenimiento de la paz y el orden público, la seguridad de las personas y de sus bienes, la garantía de sus derechos, la ejecución de las órdenes y resoluciones judiciales, el régimen migratorio y refrendar los nombramientos de los Ministros de Estado incluyendo el de quien lo suceda en el cargo. Con sede en </w:t>
      </w:r>
      <w:r w:rsidR="002411EC" w:rsidRPr="008E249A">
        <w:rPr>
          <w:rFonts w:ascii="Arial" w:hAnsi="Arial" w:cs="Arial"/>
          <w:sz w:val="24"/>
          <w:szCs w:val="24"/>
        </w:rPr>
        <w:t>la Ciudad</w:t>
      </w:r>
      <w:r w:rsidRPr="008E249A">
        <w:rPr>
          <w:rFonts w:ascii="Arial" w:hAnsi="Arial" w:cs="Arial"/>
          <w:sz w:val="24"/>
          <w:szCs w:val="24"/>
        </w:rPr>
        <w:t xml:space="preserve"> de Guatemala, el Ministerio de Gobernación es rector del Sistema Penitenciario de Guatemala y órgano de dirección general de la Policía Nacional Civil.</w:t>
      </w:r>
    </w:p>
    <w:p w14:paraId="7BC60438" w14:textId="77777777" w:rsidR="008E249A" w:rsidRPr="008E249A" w:rsidRDefault="008E249A" w:rsidP="008E249A">
      <w:pPr>
        <w:jc w:val="both"/>
        <w:rPr>
          <w:rFonts w:ascii="Arial" w:hAnsi="Arial" w:cs="Arial"/>
          <w:color w:val="FF0000"/>
          <w:sz w:val="28"/>
          <w:szCs w:val="28"/>
        </w:rPr>
      </w:pPr>
    </w:p>
    <w:p w14:paraId="769CD5C5" w14:textId="19EA70F8" w:rsidR="008E249A" w:rsidRPr="008E249A" w:rsidRDefault="008E249A" w:rsidP="008E249A">
      <w:pPr>
        <w:jc w:val="both"/>
        <w:rPr>
          <w:rFonts w:ascii="Arial" w:hAnsi="Arial" w:cs="Arial"/>
          <w:color w:val="FF0000"/>
          <w:sz w:val="28"/>
          <w:szCs w:val="28"/>
        </w:rPr>
      </w:pPr>
      <w:r w:rsidRPr="008E249A">
        <w:rPr>
          <w:rFonts w:ascii="Arial" w:hAnsi="Arial" w:cs="Arial"/>
          <w:color w:val="FF0000"/>
          <w:sz w:val="28"/>
          <w:szCs w:val="28"/>
        </w:rPr>
        <w:t>Organización</w:t>
      </w:r>
      <w:r>
        <w:rPr>
          <w:rFonts w:ascii="Arial" w:hAnsi="Arial" w:cs="Arial"/>
          <w:color w:val="FF0000"/>
          <w:sz w:val="28"/>
          <w:szCs w:val="28"/>
        </w:rPr>
        <w:t>:</w:t>
      </w:r>
    </w:p>
    <w:p w14:paraId="1F2660A9" w14:textId="65751350" w:rsidR="008E249A" w:rsidRPr="008E249A" w:rsidRDefault="008E249A" w:rsidP="008E249A">
      <w:pPr>
        <w:jc w:val="both"/>
        <w:rPr>
          <w:rFonts w:ascii="Arial" w:hAnsi="Arial" w:cs="Arial"/>
          <w:sz w:val="24"/>
          <w:szCs w:val="24"/>
        </w:rPr>
      </w:pPr>
      <w:r w:rsidRPr="008E249A">
        <w:rPr>
          <w:rFonts w:ascii="Arial" w:hAnsi="Arial" w:cs="Arial"/>
          <w:sz w:val="24"/>
          <w:szCs w:val="24"/>
        </w:rPr>
        <w:t>El Ministerio de Gobernación de Guatemala se organiza así:</w:t>
      </w:r>
    </w:p>
    <w:p w14:paraId="08A43683" w14:textId="5772D354" w:rsidR="008E249A" w:rsidRPr="008E249A" w:rsidRDefault="008E249A" w:rsidP="008E249A">
      <w:pPr>
        <w:jc w:val="both"/>
        <w:rPr>
          <w:rFonts w:ascii="Arial" w:hAnsi="Arial" w:cs="Arial"/>
          <w:sz w:val="24"/>
          <w:szCs w:val="24"/>
        </w:rPr>
      </w:pPr>
      <w:r w:rsidRPr="008E249A">
        <w:rPr>
          <w:rFonts w:ascii="Arial" w:hAnsi="Arial" w:cs="Arial"/>
          <w:sz w:val="24"/>
          <w:szCs w:val="24"/>
        </w:rPr>
        <w:t>Despacho Ministerial</w:t>
      </w:r>
    </w:p>
    <w:p w14:paraId="1ECBFBE9" w14:textId="77777777" w:rsidR="008E249A" w:rsidRPr="008E249A" w:rsidRDefault="008E249A" w:rsidP="008E249A">
      <w:pPr>
        <w:jc w:val="both"/>
        <w:rPr>
          <w:rFonts w:ascii="Arial" w:hAnsi="Arial" w:cs="Arial"/>
          <w:sz w:val="24"/>
          <w:szCs w:val="24"/>
        </w:rPr>
      </w:pPr>
      <w:r w:rsidRPr="008E249A">
        <w:rPr>
          <w:rFonts w:ascii="Arial" w:hAnsi="Arial" w:cs="Arial"/>
          <w:sz w:val="24"/>
          <w:szCs w:val="24"/>
        </w:rPr>
        <w:t>Ministro de Gobernación</w:t>
      </w:r>
    </w:p>
    <w:p w14:paraId="128BD597" w14:textId="77777777" w:rsidR="008E249A" w:rsidRPr="008E249A" w:rsidRDefault="008E249A" w:rsidP="008E249A">
      <w:pPr>
        <w:jc w:val="both"/>
        <w:rPr>
          <w:rFonts w:ascii="Arial" w:hAnsi="Arial" w:cs="Arial"/>
          <w:sz w:val="24"/>
          <w:szCs w:val="24"/>
        </w:rPr>
      </w:pPr>
      <w:r w:rsidRPr="008E249A">
        <w:rPr>
          <w:rFonts w:ascii="Arial" w:hAnsi="Arial" w:cs="Arial"/>
          <w:sz w:val="24"/>
          <w:szCs w:val="24"/>
        </w:rPr>
        <w:t>Viceministro de Seguridad Pública</w:t>
      </w:r>
    </w:p>
    <w:p w14:paraId="198DC153" w14:textId="77777777" w:rsidR="008E249A" w:rsidRPr="008E249A" w:rsidRDefault="008E249A" w:rsidP="008E249A">
      <w:pPr>
        <w:jc w:val="both"/>
        <w:rPr>
          <w:rFonts w:ascii="Arial" w:hAnsi="Arial" w:cs="Arial"/>
          <w:sz w:val="24"/>
          <w:szCs w:val="24"/>
        </w:rPr>
      </w:pPr>
      <w:r w:rsidRPr="008E249A">
        <w:rPr>
          <w:rFonts w:ascii="Arial" w:hAnsi="Arial" w:cs="Arial"/>
          <w:sz w:val="24"/>
          <w:szCs w:val="24"/>
        </w:rPr>
        <w:t>Viceministro Administrativo</w:t>
      </w:r>
    </w:p>
    <w:p w14:paraId="6E3E3ADB" w14:textId="77777777" w:rsidR="008E249A" w:rsidRPr="008E249A" w:rsidRDefault="008E249A" w:rsidP="008E249A">
      <w:pPr>
        <w:jc w:val="both"/>
        <w:rPr>
          <w:rFonts w:ascii="Arial" w:hAnsi="Arial" w:cs="Arial"/>
          <w:sz w:val="24"/>
          <w:szCs w:val="24"/>
        </w:rPr>
      </w:pPr>
      <w:r w:rsidRPr="008E249A">
        <w:rPr>
          <w:rFonts w:ascii="Arial" w:hAnsi="Arial" w:cs="Arial"/>
          <w:sz w:val="24"/>
          <w:szCs w:val="24"/>
        </w:rPr>
        <w:t>Viceministro de Prevención de la Violencia y el Delito</w:t>
      </w:r>
    </w:p>
    <w:p w14:paraId="6464DC1E" w14:textId="77777777" w:rsidR="008E249A" w:rsidRPr="008E249A" w:rsidRDefault="008E249A" w:rsidP="008E249A">
      <w:pPr>
        <w:jc w:val="both"/>
        <w:rPr>
          <w:rFonts w:ascii="Arial" w:hAnsi="Arial" w:cs="Arial"/>
          <w:sz w:val="24"/>
          <w:szCs w:val="24"/>
        </w:rPr>
      </w:pPr>
      <w:r w:rsidRPr="008E249A">
        <w:rPr>
          <w:rFonts w:ascii="Arial" w:hAnsi="Arial" w:cs="Arial"/>
          <w:sz w:val="24"/>
          <w:szCs w:val="24"/>
        </w:rPr>
        <w:t>Viceministro de Tecnologías de la Información y la Comunicación</w:t>
      </w:r>
    </w:p>
    <w:p w14:paraId="4B4FC1A5" w14:textId="6B22339A" w:rsidR="008E249A" w:rsidRDefault="008E249A" w:rsidP="008E249A">
      <w:pPr>
        <w:jc w:val="both"/>
        <w:rPr>
          <w:rFonts w:ascii="Arial" w:hAnsi="Arial" w:cs="Arial"/>
          <w:sz w:val="24"/>
          <w:szCs w:val="24"/>
        </w:rPr>
      </w:pPr>
      <w:r w:rsidRPr="008E249A">
        <w:rPr>
          <w:rFonts w:ascii="Arial" w:hAnsi="Arial" w:cs="Arial"/>
          <w:sz w:val="24"/>
          <w:szCs w:val="24"/>
        </w:rPr>
        <w:t>Viceministro de Antinarcóticos</w:t>
      </w:r>
    </w:p>
    <w:p w14:paraId="1A227EFA" w14:textId="6D25A155" w:rsidR="008E249A" w:rsidRDefault="008E249A" w:rsidP="008E249A">
      <w:pPr>
        <w:jc w:val="both"/>
        <w:rPr>
          <w:rFonts w:ascii="Arial" w:hAnsi="Arial" w:cs="Arial"/>
          <w:color w:val="FF0000"/>
          <w:sz w:val="28"/>
          <w:szCs w:val="28"/>
        </w:rPr>
      </w:pPr>
      <w:r w:rsidRPr="008E249A">
        <w:rPr>
          <w:rFonts w:ascii="Arial" w:hAnsi="Arial" w:cs="Arial"/>
          <w:color w:val="FF0000"/>
          <w:sz w:val="28"/>
          <w:szCs w:val="28"/>
        </w:rPr>
        <w:t>Funciones</w:t>
      </w:r>
      <w:r w:rsidRPr="008E249A">
        <w:rPr>
          <w:rFonts w:ascii="Arial" w:hAnsi="Arial" w:cs="Arial"/>
          <w:color w:val="FF0000"/>
          <w:sz w:val="28"/>
          <w:szCs w:val="28"/>
        </w:rPr>
        <w:t>:</w:t>
      </w:r>
    </w:p>
    <w:p w14:paraId="404B7DE0" w14:textId="77777777" w:rsidR="008E249A" w:rsidRPr="008E249A" w:rsidRDefault="008E249A" w:rsidP="008E249A">
      <w:pPr>
        <w:jc w:val="both"/>
        <w:rPr>
          <w:rFonts w:ascii="Arial" w:hAnsi="Arial" w:cs="Arial"/>
          <w:sz w:val="24"/>
          <w:szCs w:val="24"/>
        </w:rPr>
      </w:pPr>
      <w:r w:rsidRPr="008E249A">
        <w:rPr>
          <w:rFonts w:ascii="Arial" w:hAnsi="Arial" w:cs="Arial"/>
          <w:sz w:val="24"/>
          <w:szCs w:val="24"/>
        </w:rPr>
        <w:t>Dentro de las funciones establecidas en el artículo 32 de la Ley del Organismo Ejecutivo, tenemos las siguientes:</w:t>
      </w:r>
    </w:p>
    <w:p w14:paraId="2B28CB13" w14:textId="77777777" w:rsidR="008E249A" w:rsidRPr="008E249A" w:rsidRDefault="008E249A" w:rsidP="008E249A">
      <w:pPr>
        <w:jc w:val="both"/>
        <w:rPr>
          <w:rFonts w:ascii="Arial" w:hAnsi="Arial" w:cs="Arial"/>
          <w:sz w:val="24"/>
          <w:szCs w:val="24"/>
        </w:rPr>
      </w:pPr>
    </w:p>
    <w:p w14:paraId="5703636E" w14:textId="77777777" w:rsidR="008E249A" w:rsidRPr="008E249A" w:rsidRDefault="008E249A" w:rsidP="008E249A">
      <w:pPr>
        <w:jc w:val="both"/>
        <w:rPr>
          <w:rFonts w:ascii="Arial" w:hAnsi="Arial" w:cs="Arial"/>
          <w:sz w:val="24"/>
          <w:szCs w:val="24"/>
        </w:rPr>
      </w:pPr>
      <w:r w:rsidRPr="008E249A">
        <w:rPr>
          <w:rFonts w:ascii="Arial" w:hAnsi="Arial" w:cs="Arial"/>
          <w:sz w:val="24"/>
          <w:szCs w:val="24"/>
        </w:rPr>
        <w:t>a) Formular y ejecutar dentro del marco jurídico vigente, las políticas de protección al consumidor, de fomento a la competencia y de represión legal de la competencia desleal.</w:t>
      </w:r>
    </w:p>
    <w:p w14:paraId="380A5066" w14:textId="77777777" w:rsidR="008E249A" w:rsidRPr="008E249A" w:rsidRDefault="008E249A" w:rsidP="008E249A">
      <w:pPr>
        <w:jc w:val="both"/>
        <w:rPr>
          <w:rFonts w:ascii="Arial" w:hAnsi="Arial" w:cs="Arial"/>
          <w:sz w:val="24"/>
          <w:szCs w:val="24"/>
        </w:rPr>
      </w:pPr>
    </w:p>
    <w:p w14:paraId="7EBB1FEF" w14:textId="77777777" w:rsidR="008E249A" w:rsidRPr="008E249A" w:rsidRDefault="008E249A" w:rsidP="008E249A">
      <w:pPr>
        <w:jc w:val="both"/>
        <w:rPr>
          <w:rFonts w:ascii="Arial" w:hAnsi="Arial" w:cs="Arial"/>
          <w:sz w:val="24"/>
          <w:szCs w:val="24"/>
        </w:rPr>
      </w:pPr>
      <w:r w:rsidRPr="008E249A">
        <w:rPr>
          <w:rFonts w:ascii="Arial" w:hAnsi="Arial" w:cs="Arial"/>
          <w:sz w:val="24"/>
          <w:szCs w:val="24"/>
        </w:rPr>
        <w:t>b) Formular y ejecutar dentro del marco jurídico vigente, la política de inversión nacional y extranjera, de promoción de la competitividad, del desarrollo industrial y comercial, y proponer las directrices para su ejecución.</w:t>
      </w:r>
    </w:p>
    <w:p w14:paraId="6BC50D95" w14:textId="77777777" w:rsidR="008E249A" w:rsidRPr="008E249A" w:rsidRDefault="008E249A" w:rsidP="008E249A">
      <w:pPr>
        <w:jc w:val="both"/>
        <w:rPr>
          <w:rFonts w:ascii="Arial" w:hAnsi="Arial" w:cs="Arial"/>
          <w:color w:val="FF0000"/>
          <w:sz w:val="28"/>
          <w:szCs w:val="28"/>
        </w:rPr>
      </w:pPr>
    </w:p>
    <w:p w14:paraId="7BEEBEB7" w14:textId="3F9260D1" w:rsidR="008E249A" w:rsidRPr="008E249A" w:rsidRDefault="008E249A" w:rsidP="008E249A">
      <w:pPr>
        <w:jc w:val="both"/>
        <w:rPr>
          <w:rFonts w:ascii="Arial" w:hAnsi="Arial" w:cs="Arial"/>
          <w:sz w:val="28"/>
          <w:szCs w:val="28"/>
        </w:rPr>
      </w:pPr>
      <w:r w:rsidRPr="008E249A">
        <w:rPr>
          <w:rFonts w:ascii="Arial" w:hAnsi="Arial" w:cs="Arial"/>
          <w:sz w:val="28"/>
          <w:szCs w:val="28"/>
        </w:rPr>
        <w:lastRenderedPageBreak/>
        <w:t xml:space="preserve">c) Conducir, por delegación del </w:t>
      </w:r>
      <w:proofErr w:type="gramStart"/>
      <w:r w:rsidRPr="008E249A">
        <w:rPr>
          <w:rFonts w:ascii="Arial" w:hAnsi="Arial" w:cs="Arial"/>
          <w:sz w:val="28"/>
          <w:szCs w:val="28"/>
        </w:rPr>
        <w:t>Presidente</w:t>
      </w:r>
      <w:proofErr w:type="gramEnd"/>
      <w:r w:rsidRPr="008E249A">
        <w:rPr>
          <w:rFonts w:ascii="Arial" w:hAnsi="Arial" w:cs="Arial"/>
          <w:sz w:val="28"/>
          <w:szCs w:val="28"/>
        </w:rPr>
        <w:t xml:space="preserve"> de la República, las negociaciones de los convenios y tratados de comercio internacional bilateral y multilateral, y una vez aprobados y ratificados, encargarse de su ejecución.</w:t>
      </w:r>
    </w:p>
    <w:p w14:paraId="4B32E550" w14:textId="12FAEE3D" w:rsidR="008E249A" w:rsidRPr="008E249A" w:rsidRDefault="008E249A" w:rsidP="008E249A">
      <w:pPr>
        <w:jc w:val="both"/>
        <w:rPr>
          <w:rFonts w:ascii="Arial" w:hAnsi="Arial" w:cs="Arial"/>
          <w:sz w:val="28"/>
          <w:szCs w:val="28"/>
        </w:rPr>
      </w:pPr>
      <w:r w:rsidRPr="008E249A">
        <w:rPr>
          <w:rFonts w:ascii="Arial" w:hAnsi="Arial" w:cs="Arial"/>
          <w:sz w:val="28"/>
          <w:szCs w:val="28"/>
        </w:rPr>
        <w:t>d) Proponer al Organismo Ejecutivo, en coordinación con los otros ministerios y organismos del Estado, las especificaciones y normas técnicas y de calidad de la producción nacional.</w:t>
      </w:r>
    </w:p>
    <w:p w14:paraId="1A64ED16" w14:textId="79DC4974" w:rsidR="008E249A" w:rsidRPr="008E249A" w:rsidRDefault="008E249A" w:rsidP="008E249A">
      <w:pPr>
        <w:jc w:val="both"/>
        <w:rPr>
          <w:rFonts w:ascii="Arial" w:hAnsi="Arial" w:cs="Arial"/>
          <w:sz w:val="28"/>
          <w:szCs w:val="28"/>
        </w:rPr>
      </w:pPr>
      <w:r w:rsidRPr="008E249A">
        <w:rPr>
          <w:rFonts w:ascii="Arial" w:hAnsi="Arial" w:cs="Arial"/>
          <w:sz w:val="28"/>
          <w:szCs w:val="28"/>
        </w:rPr>
        <w:t>e) Formular y ejecutar, de conformidad con la ley, la política arancelaria del país, y coordinar, analizar y dar seguimiento a los procesos de integración económica centroamericana y de negociación de tratados de libre comercio.</w:t>
      </w:r>
    </w:p>
    <w:p w14:paraId="6104EDFC" w14:textId="3FAD63D9" w:rsidR="008E249A" w:rsidRPr="008E249A" w:rsidRDefault="008E249A" w:rsidP="008E249A">
      <w:pPr>
        <w:jc w:val="both"/>
        <w:rPr>
          <w:rFonts w:ascii="Arial" w:hAnsi="Arial" w:cs="Arial"/>
          <w:sz w:val="28"/>
          <w:szCs w:val="28"/>
        </w:rPr>
      </w:pPr>
      <w:r w:rsidRPr="008E249A">
        <w:rPr>
          <w:rFonts w:ascii="Arial" w:hAnsi="Arial" w:cs="Arial"/>
          <w:sz w:val="28"/>
          <w:szCs w:val="28"/>
        </w:rPr>
        <w:t>f) Velar por la seguridad y eficiente administración de los registros públicos sometidos a su jurisdicción.</w:t>
      </w:r>
    </w:p>
    <w:p w14:paraId="57AB294C" w14:textId="6D9916C7" w:rsidR="008E249A" w:rsidRDefault="008E249A" w:rsidP="008E249A">
      <w:pPr>
        <w:jc w:val="both"/>
        <w:rPr>
          <w:rFonts w:ascii="Arial" w:hAnsi="Arial" w:cs="Arial"/>
          <w:sz w:val="28"/>
          <w:szCs w:val="28"/>
        </w:rPr>
      </w:pPr>
      <w:r w:rsidRPr="008E249A">
        <w:rPr>
          <w:rFonts w:ascii="Arial" w:hAnsi="Arial" w:cs="Arial"/>
          <w:sz w:val="28"/>
          <w:szCs w:val="28"/>
        </w:rPr>
        <w:t>g) Promover la creación y mejoramiento continuo de los procedimientos e instituciones registrales, instituidas para la seguridad del tráfico de los bienes inmuebles y demás bienes registrables.</w:t>
      </w:r>
    </w:p>
    <w:p w14:paraId="250BBCDE" w14:textId="77777777" w:rsidR="008E249A" w:rsidRPr="002411EC" w:rsidRDefault="008E249A" w:rsidP="008E249A">
      <w:pPr>
        <w:jc w:val="both"/>
        <w:rPr>
          <w:rFonts w:ascii="Arial" w:hAnsi="Arial" w:cs="Arial"/>
          <w:sz w:val="28"/>
          <w:szCs w:val="28"/>
          <w:u w:val="single"/>
        </w:rPr>
      </w:pPr>
    </w:p>
    <w:p w14:paraId="113E30FF" w14:textId="77777777" w:rsidR="008E249A" w:rsidRPr="008E249A" w:rsidRDefault="008E249A" w:rsidP="008E249A">
      <w:pPr>
        <w:jc w:val="both"/>
        <w:rPr>
          <w:rFonts w:ascii="Arial" w:hAnsi="Arial" w:cs="Arial"/>
          <w:color w:val="FF0000"/>
          <w:sz w:val="24"/>
          <w:szCs w:val="24"/>
        </w:rPr>
      </w:pPr>
    </w:p>
    <w:sectPr w:rsidR="008E249A" w:rsidRPr="008E249A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6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249A"/>
    <w:rsid w:val="00131CBE"/>
    <w:rsid w:val="002411EC"/>
    <w:rsid w:val="008E24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87EA86"/>
  <w15:chartTrackingRefBased/>
  <w15:docId w15:val="{CB7EC7BD-0C90-4822-8067-1ED79747EC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645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51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32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79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388</Words>
  <Characters>2136</Characters>
  <Application>Microsoft Office Word</Application>
  <DocSecurity>0</DocSecurity>
  <Lines>17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50246</dc:creator>
  <cp:keywords/>
  <dc:description/>
  <cp:lastModifiedBy>50246</cp:lastModifiedBy>
  <cp:revision>1</cp:revision>
  <dcterms:created xsi:type="dcterms:W3CDTF">2021-05-20T02:37:00Z</dcterms:created>
  <dcterms:modified xsi:type="dcterms:W3CDTF">2021-05-20T02:49:00Z</dcterms:modified>
</cp:coreProperties>
</file>