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D4" w:rsidRDefault="00E4344C" w:rsidP="00D260B6">
      <w:pPr>
        <w:jc w:val="center"/>
        <w:rPr>
          <w:rFonts w:ascii="Book Antiqua" w:hAnsi="Book Antiqua"/>
          <w:b/>
        </w:rPr>
      </w:pPr>
      <w:r w:rsidRPr="00D260B6">
        <w:rPr>
          <w:rFonts w:ascii="Book Antiqua" w:hAnsi="Book Antiqua"/>
          <w:b/>
        </w:rPr>
        <w:t>Tecnología en la Educación</w:t>
      </w:r>
      <w:r w:rsidR="00A16C21">
        <w:rPr>
          <w:rFonts w:ascii="Book Antiqua" w:hAnsi="Book Antiqua"/>
          <w:b/>
        </w:rPr>
        <w:t xml:space="preserve">  </w:t>
      </w:r>
    </w:p>
    <w:p w:rsidR="00E4344C" w:rsidRPr="00D260B6" w:rsidRDefault="00E4344C" w:rsidP="00D260B6">
      <w:pPr>
        <w:jc w:val="center"/>
        <w:rPr>
          <w:rFonts w:ascii="Book Antiqua" w:hAnsi="Book Antiqua"/>
        </w:rPr>
      </w:pPr>
      <w:r w:rsidRPr="00D260B6">
        <w:rPr>
          <w:rFonts w:ascii="Book Antiqua" w:hAnsi="Book Antiqua"/>
        </w:rPr>
        <w:t>Aunque en las últimas décadas se haya avanzado enormemente en la incorporación de la tecnología educativa, su incorporación por parte de los docentes ha sido un proceso más lento. Antes de la pandemia, muchos docentes ya expresaban la necesidad de tener mayor y mejor capacitación en el uso de herramientas digitales, plataformas educativas y más. Sin embargo, dado al imprevisto impacto de la pandemia en los sistemas educativos y el cierre masivo de centros escolares, estas demandas se volvieron aún </w:t>
      </w:r>
      <w:hyperlink r:id="rId7" w:tgtFrame="_blank" w:history="1">
        <w:r w:rsidRPr="00D260B6">
          <w:rPr>
            <w:rStyle w:val="Hipervnculo"/>
            <w:rFonts w:ascii="Book Antiqua" w:hAnsi="Book Antiqua"/>
            <w:color w:val="auto"/>
            <w:u w:val="none"/>
          </w:rPr>
          <w:t>más urgentes</w:t>
        </w:r>
      </w:hyperlink>
      <w:r w:rsidRPr="00D260B6">
        <w:rPr>
          <w:rFonts w:ascii="Book Antiqua" w:hAnsi="Book Antiqua"/>
        </w:rPr>
        <w:t>.</w:t>
      </w:r>
    </w:p>
    <w:p w:rsidR="00E4344C" w:rsidRPr="00D260B6" w:rsidRDefault="00E4344C" w:rsidP="00D260B6">
      <w:pPr>
        <w:jc w:val="center"/>
        <w:rPr>
          <w:rFonts w:ascii="Book Antiqua" w:hAnsi="Book Antiqua"/>
        </w:rPr>
      </w:pPr>
      <w:r w:rsidRPr="00D260B6">
        <w:rPr>
          <w:rFonts w:ascii="Book Antiqua" w:hAnsi="Book Antiqua"/>
        </w:rPr>
        <w:t>Como consecuencia de la pandemia y la renovada urgencia de este tema, el </w:t>
      </w:r>
      <w:hyperlink r:id="rId8" w:tgtFrame="_blank" w:history="1">
        <w:r w:rsidRPr="00D260B6">
          <w:rPr>
            <w:rStyle w:val="Hipervnculo"/>
            <w:rFonts w:ascii="Book Antiqua" w:hAnsi="Book Antiqua"/>
            <w:color w:val="auto"/>
            <w:u w:val="none"/>
          </w:rPr>
          <w:t>Grupo de Trabajo sobre Tecnología e Innovación en la Educación</w:t>
        </w:r>
      </w:hyperlink>
      <w:r w:rsidRPr="00D260B6">
        <w:rPr>
          <w:rFonts w:ascii="Book Antiqua" w:hAnsi="Book Antiqua"/>
        </w:rPr>
        <w:t> se reunió el 8 de diciembre del 2020 para discutir cómo la tecnología puede apoyar y facilitar la práctica docente durante la pandemia y a futuro.</w:t>
      </w:r>
    </w:p>
    <w:p w:rsidR="00E4344C" w:rsidRPr="00D260B6" w:rsidRDefault="00E4344C" w:rsidP="00D260B6">
      <w:pPr>
        <w:jc w:val="center"/>
        <w:rPr>
          <w:rFonts w:ascii="Book Antiqua" w:hAnsi="Book Antiqua"/>
        </w:rPr>
      </w:pPr>
      <w:r w:rsidRPr="00D260B6">
        <w:rPr>
          <w:rFonts w:ascii="Book Antiqua" w:hAnsi="Book Antiqua"/>
        </w:rPr>
        <w:t>La discusión se enfocó en tres dimensiones en las cuales los docentes han utilizado y van a seguir utilizando tecnologías educativas para la enseñanza: la curación de contenido y entornos de aprendizaje; la gestión y evaluación de aprendizajes; y el desarrollo profesional y las comunidades de práctica.</w:t>
      </w:r>
    </w:p>
    <w:p w:rsidR="00E4344C" w:rsidRPr="00D260B6" w:rsidRDefault="00E4344C" w:rsidP="00D260B6">
      <w:pPr>
        <w:jc w:val="center"/>
        <w:rPr>
          <w:rFonts w:ascii="Book Antiqua" w:hAnsi="Book Antiqua"/>
        </w:rPr>
      </w:pPr>
      <w:r w:rsidRPr="00D260B6">
        <w:rPr>
          <w:rFonts w:ascii="Book Antiqua" w:hAnsi="Book Antiqua"/>
        </w:rPr>
        <w:t>A continuación, se presentan los principales retos dentro de cada dimensión a los que se han enfrentado los países para implementar y escalar efectivamente las iniciativas tecnológicas viables que se manifestaron en el contexto de la pandemia en la región. Seguidamente, se describen las lecciones aprendidas durante este período de pandemia, destacando la importancia de la usabilidad de la herramientas y plataformas, la alineación y capacidad de mediación de contenido accesible para todos, así como la capacitación docente continua, guiada por un marco de competencias flexible y adaptado a las necesidades de los países de la región.</w:t>
      </w:r>
    </w:p>
    <w:p w:rsidR="00E4344C" w:rsidRPr="00D260B6" w:rsidRDefault="00E4344C" w:rsidP="00D260B6">
      <w:pPr>
        <w:jc w:val="center"/>
        <w:rPr>
          <w:rFonts w:ascii="Book Antiqua" w:hAnsi="Book Antiqua"/>
        </w:rPr>
      </w:pPr>
    </w:p>
    <w:p w:rsidR="00E4344C" w:rsidRPr="00D260B6" w:rsidRDefault="00E4344C" w:rsidP="00D260B6">
      <w:pPr>
        <w:jc w:val="center"/>
        <w:rPr>
          <w:rFonts w:ascii="Book Antiqua" w:hAnsi="Book Antiqua"/>
        </w:rPr>
      </w:pPr>
      <w:r w:rsidRPr="00D260B6">
        <w:rPr>
          <w:rFonts w:ascii="Book Antiqua" w:hAnsi="Book Antiqua"/>
        </w:rPr>
        <w:t>RECOMENDACIONES:</w:t>
      </w:r>
    </w:p>
    <w:p w:rsidR="00E4344C" w:rsidRPr="00D260B6" w:rsidRDefault="00E4344C" w:rsidP="00D260B6">
      <w:pPr>
        <w:jc w:val="center"/>
        <w:rPr>
          <w:rFonts w:ascii="Book Antiqua" w:hAnsi="Book Antiqua"/>
        </w:rPr>
      </w:pPr>
      <w:r w:rsidRPr="00D260B6">
        <w:rPr>
          <w:rFonts w:ascii="Book Antiqua" w:hAnsi="Book Antiqua"/>
        </w:rPr>
        <w:t>En primer lugar, existe la necesidad de contar con marcos de competencias digitales y de desarrollar estándares para proteger el uso de datos y la propiedad intelectual en las plataformas educativas digitales. El desarrollo de tales directrices respondería a los retos que enfrentan los países para implementar estrategias de evaluación y capacitación docente en tecnologías de la información y de la comunicación (</w:t>
      </w:r>
      <w:proofErr w:type="spellStart"/>
      <w:r w:rsidRPr="00D260B6">
        <w:rPr>
          <w:rFonts w:ascii="Book Antiqua" w:hAnsi="Book Antiqua"/>
        </w:rPr>
        <w:t>TICs</w:t>
      </w:r>
      <w:proofErr w:type="spellEnd"/>
      <w:r w:rsidRPr="00D260B6">
        <w:rPr>
          <w:rFonts w:ascii="Book Antiqua" w:hAnsi="Book Antiqua"/>
        </w:rPr>
        <w:t>) relevantes, así como para motivar a los docentes a intercambiar prácticas y recursos o a utilizar plataformas de evaluación estudiantil automatizada.</w:t>
      </w:r>
    </w:p>
    <w:p w:rsidR="00E4344C" w:rsidRPr="00D260B6" w:rsidRDefault="00E4344C" w:rsidP="00D260B6">
      <w:pPr>
        <w:jc w:val="center"/>
        <w:rPr>
          <w:rFonts w:ascii="Book Antiqua" w:hAnsi="Book Antiqua"/>
        </w:rPr>
      </w:pPr>
      <w:r w:rsidRPr="00D260B6">
        <w:rPr>
          <w:rFonts w:ascii="Book Antiqua" w:hAnsi="Book Antiqua"/>
        </w:rPr>
        <w:t xml:space="preserve">En segundo lugar, existe la necesidad de mejorar las plataformas digitales – en sus funciones de repositorio de contenidos o de evaluación de aprendizajes, así como las habilidades de los docentes para utilizarlas efectivamente. Muchas plataformas tienen interfaces complejas o no responden a las necesidades reales de los docentes. Para resolver esta discordancia, es esencial promover la colaboración intersectorial e involucrar a los docentes en procesos de diseño. También, el bajo nivel de competencias analíticas que experimentan muchos docentes impide un uso óptimo de las plataformas existentes, especialmente en sus funciones de evaluación de desempeño estudiantil. Invertir en el </w:t>
      </w:r>
      <w:bookmarkStart w:id="0" w:name="_GoBack"/>
      <w:bookmarkEnd w:id="0"/>
      <w:r w:rsidRPr="00D260B6">
        <w:rPr>
          <w:rFonts w:ascii="Book Antiqua" w:hAnsi="Book Antiqua"/>
        </w:rPr>
        <w:lastRenderedPageBreak/>
        <w:t>desarrollo de las competencias analíticas de los docentes o directores de escuela podría mejorar la toma de decisiones pedagógicas exponencialmente.</w:t>
      </w:r>
    </w:p>
    <w:p w:rsidR="00E4344C" w:rsidRPr="00D260B6" w:rsidRDefault="00E4344C" w:rsidP="00D260B6">
      <w:pPr>
        <w:jc w:val="center"/>
        <w:rPr>
          <w:rFonts w:ascii="Book Antiqua" w:hAnsi="Book Antiqua"/>
        </w:rPr>
      </w:pPr>
      <w:r w:rsidRPr="00D260B6">
        <w:rPr>
          <w:rFonts w:ascii="Book Antiqua" w:hAnsi="Book Antiqua"/>
        </w:rPr>
        <w:t>Por último, es importante potenciar y expandir las alianzas existentes con el sector privado. Los gobiernos de la región deben usar las capacidades en el sector privado para ampliar y mejorar sus plataformas virtuales y su oferta de capacitación docente. En la pandemia, estas colaboraciones se han expandido, en muchos casos, gracias a los </w:t>
      </w:r>
      <w:hyperlink r:id="rId9" w:tgtFrame="_blank" w:history="1">
        <w:r w:rsidRPr="00D260B6">
          <w:rPr>
            <w:rStyle w:val="Hipervnculo"/>
            <w:rFonts w:ascii="Book Antiqua" w:hAnsi="Book Antiqua"/>
            <w:color w:val="auto"/>
            <w:u w:val="none"/>
          </w:rPr>
          <w:t>convenios de bajo costo</w:t>
        </w:r>
      </w:hyperlink>
      <w:r w:rsidRPr="00D260B6">
        <w:rPr>
          <w:rFonts w:ascii="Book Antiqua" w:hAnsi="Book Antiqua"/>
        </w:rPr>
        <w:t> que se negociaron en la situación de emergencia. Sin embargo, mirando a futuro, las colaboraciones entre el sector público y privado presentan una enorme oportunidad para mejorar y escalar la infraestructura tecnológica en los ecosistemas educativos de la región.</w:t>
      </w:r>
    </w:p>
    <w:p w:rsidR="00E4344C" w:rsidRPr="00D260B6" w:rsidRDefault="00E4344C" w:rsidP="00D260B6">
      <w:pPr>
        <w:jc w:val="center"/>
        <w:rPr>
          <w:rFonts w:ascii="Book Antiqua" w:hAnsi="Book Antiqua"/>
        </w:rPr>
      </w:pPr>
      <w:r w:rsidRPr="00D260B6">
        <w:rPr>
          <w:rFonts w:ascii="Book Antiqua" w:hAnsi="Book Antiqua"/>
        </w:rPr>
        <w:t>El </w:t>
      </w:r>
      <w:hyperlink r:id="rId10" w:tgtFrame="_blank" w:history="1">
        <w:r w:rsidRPr="00D260B6">
          <w:rPr>
            <w:rStyle w:val="Hipervnculo"/>
            <w:rFonts w:ascii="Book Antiqua" w:hAnsi="Book Antiqua"/>
            <w:color w:val="auto"/>
            <w:u w:val="none"/>
          </w:rPr>
          <w:t>Programa de Educación</w:t>
        </w:r>
      </w:hyperlink>
      <w:r w:rsidRPr="00D260B6">
        <w:rPr>
          <w:rFonts w:ascii="Book Antiqua" w:hAnsi="Book Antiqua"/>
        </w:rPr>
        <w:t xml:space="preserve"> agradece a la Fundación de AT&amp;T, Discovery </w:t>
      </w:r>
      <w:proofErr w:type="spellStart"/>
      <w:r w:rsidRPr="00D260B6">
        <w:rPr>
          <w:rFonts w:ascii="Book Antiqua" w:hAnsi="Book Antiqua"/>
        </w:rPr>
        <w:t>Education</w:t>
      </w:r>
      <w:proofErr w:type="spellEnd"/>
      <w:r w:rsidRPr="00D260B6">
        <w:rPr>
          <w:rFonts w:ascii="Book Antiqua" w:hAnsi="Book Antiqua"/>
        </w:rPr>
        <w:t xml:space="preserve">, Facebook, Microsoft, Imaginable </w:t>
      </w:r>
      <w:proofErr w:type="spellStart"/>
      <w:r w:rsidRPr="00D260B6">
        <w:rPr>
          <w:rFonts w:ascii="Book Antiqua" w:hAnsi="Book Antiqua"/>
        </w:rPr>
        <w:t>Futures</w:t>
      </w:r>
      <w:proofErr w:type="spellEnd"/>
      <w:r w:rsidRPr="00D260B6">
        <w:rPr>
          <w:rFonts w:ascii="Book Antiqua" w:hAnsi="Book Antiqua"/>
        </w:rPr>
        <w:t xml:space="preserve">, Pearson y SBA </w:t>
      </w:r>
      <w:proofErr w:type="spellStart"/>
      <w:r w:rsidRPr="00D260B6">
        <w:rPr>
          <w:rFonts w:ascii="Book Antiqua" w:hAnsi="Book Antiqua"/>
        </w:rPr>
        <w:t>Communications</w:t>
      </w:r>
      <w:proofErr w:type="spellEnd"/>
      <w:r w:rsidRPr="00D260B6">
        <w:rPr>
          <w:rFonts w:ascii="Book Antiqua" w:hAnsi="Book Antiqua"/>
        </w:rPr>
        <w:t xml:space="preserve"> </w:t>
      </w:r>
      <w:proofErr w:type="spellStart"/>
      <w:r w:rsidRPr="00D260B6">
        <w:rPr>
          <w:rFonts w:ascii="Book Antiqua" w:hAnsi="Book Antiqua"/>
        </w:rPr>
        <w:t>Corporation</w:t>
      </w:r>
      <w:proofErr w:type="spellEnd"/>
      <w:r w:rsidRPr="00D260B6">
        <w:rPr>
          <w:rFonts w:ascii="Book Antiqua" w:hAnsi="Book Antiqua"/>
        </w:rPr>
        <w:t xml:space="preserve"> su generoso apoyo en la realización de este informe.</w:t>
      </w:r>
    </w:p>
    <w:p w:rsidR="00242304" w:rsidRPr="00D260B6" w:rsidRDefault="00726E46" w:rsidP="00E4344C">
      <w:pPr>
        <w:jc w:val="both"/>
        <w:rPr>
          <w:rFonts w:ascii="Book Antiqua" w:hAnsi="Book Antiqua"/>
        </w:rPr>
      </w:pPr>
    </w:p>
    <w:p w:rsidR="00E4344C" w:rsidRPr="00D260B6" w:rsidRDefault="00E4344C" w:rsidP="00E4344C">
      <w:pPr>
        <w:jc w:val="both"/>
        <w:rPr>
          <w:rFonts w:ascii="Book Antiqua" w:hAnsi="Book Antiqua"/>
        </w:rPr>
      </w:pPr>
    </w:p>
    <w:p w:rsidR="00D260B6" w:rsidRDefault="00D260B6" w:rsidP="00E4344C">
      <w:pPr>
        <w:jc w:val="both"/>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127DA4" w:rsidRDefault="00127DA4" w:rsidP="00127DA4">
      <w:pPr>
        <w:rPr>
          <w:rFonts w:ascii="Book Antiqua" w:hAnsi="Book Antiqua"/>
        </w:rPr>
      </w:pPr>
    </w:p>
    <w:p w:rsidR="00E4344C" w:rsidRPr="00D260B6" w:rsidRDefault="00E4344C" w:rsidP="00127DA4">
      <w:pPr>
        <w:rPr>
          <w:rFonts w:ascii="Book Antiqua" w:hAnsi="Book Antiqua"/>
        </w:rPr>
      </w:pPr>
      <w:r w:rsidRPr="00D260B6">
        <w:rPr>
          <w:rFonts w:ascii="Book Antiqua" w:hAnsi="Book Antiqua"/>
        </w:rPr>
        <w:t>Listado de frutas y verduras</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Aceitunas,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acelga,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achicoria,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apio,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batata,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berro,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brócoli,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cardo,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coliflor,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cebolla de verdeo,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chaucha,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escarola,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espinaca,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hinojo,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nabiza,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puerro,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rábano, </w:t>
      </w:r>
    </w:p>
    <w:p w:rsidR="00E4344C" w:rsidRPr="00D260B6" w:rsidRDefault="00E4344C" w:rsidP="00E4344C">
      <w:pPr>
        <w:jc w:val="both"/>
        <w:rPr>
          <w:rFonts w:ascii="Book Antiqua" w:hAnsi="Book Antiqua" w:cs="Arial"/>
          <w:shd w:val="clear" w:color="auto" w:fill="FFFFFF"/>
        </w:rPr>
      </w:pPr>
      <w:proofErr w:type="spellStart"/>
      <w:r w:rsidRPr="00D260B6">
        <w:rPr>
          <w:rFonts w:ascii="Book Antiqua" w:hAnsi="Book Antiqua" w:cs="Arial"/>
          <w:shd w:val="clear" w:color="auto" w:fill="FFFFFF"/>
        </w:rPr>
        <w:t>radicheta</w:t>
      </w:r>
      <w:proofErr w:type="spellEnd"/>
      <w:r w:rsidRPr="00D260B6">
        <w:rPr>
          <w:rFonts w:ascii="Book Antiqua" w:hAnsi="Book Antiqua" w:cs="Arial"/>
          <w:shd w:val="clear" w:color="auto" w:fill="FFFFFF"/>
        </w:rPr>
        <w:t xml:space="preserve">,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remolacha,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repollo,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repollitos de Bruselas,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zanahoria,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zapallo,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calabaza,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banana, </w:t>
      </w:r>
    </w:p>
    <w:p w:rsidR="00127DA4"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ciruela,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lastRenderedPageBreak/>
        <w:t xml:space="preserve">durazno,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limón,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mandarina,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melón,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membrillo,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naranja,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palta,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pelón,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pera,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pomelo</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Remolacha,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zapallito, </w:t>
      </w:r>
    </w:p>
    <w:p w:rsidR="00E4344C" w:rsidRPr="00D260B6" w:rsidRDefault="00E4344C" w:rsidP="00E4344C">
      <w:pPr>
        <w:jc w:val="both"/>
        <w:rPr>
          <w:rFonts w:ascii="Book Antiqua" w:hAnsi="Book Antiqua" w:cs="Arial"/>
          <w:shd w:val="clear" w:color="auto" w:fill="FFFFFF"/>
        </w:rPr>
      </w:pPr>
      <w:proofErr w:type="spellStart"/>
      <w:r w:rsidRPr="00D260B6">
        <w:rPr>
          <w:rFonts w:ascii="Book Antiqua" w:hAnsi="Book Antiqua" w:cs="Arial"/>
          <w:shd w:val="clear" w:color="auto" w:fill="FFFFFF"/>
        </w:rPr>
        <w:t>radicha</w:t>
      </w:r>
      <w:proofErr w:type="spellEnd"/>
      <w:r w:rsidRPr="00D260B6">
        <w:rPr>
          <w:rFonts w:ascii="Book Antiqua" w:hAnsi="Book Antiqua" w:cs="Arial"/>
          <w:shd w:val="clear" w:color="auto" w:fill="FFFFFF"/>
        </w:rPr>
        <w:t xml:space="preserve">,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perejil,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puerro,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habas,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lechuga,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nabiza,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nabo,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acelga,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apio,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alcaucil,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espárrago,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frutilla,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frambuesa,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cereza,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arándano,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manzana, </w:t>
      </w:r>
    </w:p>
    <w:p w:rsidR="00E4344C" w:rsidRPr="00D260B6" w:rsidRDefault="00E4344C">
      <w:pPr>
        <w:rPr>
          <w:rFonts w:ascii="Book Antiqua" w:hAnsi="Book Antiqua" w:cs="Arial"/>
          <w:shd w:val="clear" w:color="auto" w:fill="FFFFFF"/>
        </w:rPr>
      </w:pPr>
      <w:r w:rsidRPr="00D260B6">
        <w:rPr>
          <w:rFonts w:ascii="Book Antiqua" w:hAnsi="Book Antiqua" w:cs="Arial"/>
          <w:shd w:val="clear" w:color="auto" w:fill="FFFFFF"/>
        </w:rPr>
        <w:br w:type="page"/>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lastRenderedPageBreak/>
        <w:t xml:space="preserve">naranja,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palta,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ananá,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banana,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 xml:space="preserve">frutilla, </w:t>
      </w:r>
    </w:p>
    <w:p w:rsidR="00E4344C" w:rsidRPr="00D260B6" w:rsidRDefault="00E4344C" w:rsidP="00E4344C">
      <w:pPr>
        <w:jc w:val="both"/>
        <w:rPr>
          <w:rFonts w:ascii="Book Antiqua" w:hAnsi="Book Antiqua" w:cs="Arial"/>
          <w:shd w:val="clear" w:color="auto" w:fill="FFFFFF"/>
        </w:rPr>
      </w:pPr>
      <w:r w:rsidRPr="00D260B6">
        <w:rPr>
          <w:rFonts w:ascii="Book Antiqua" w:hAnsi="Book Antiqua" w:cs="Arial"/>
          <w:shd w:val="clear" w:color="auto" w:fill="FFFFFF"/>
        </w:rPr>
        <w:t>limón</w:t>
      </w:r>
    </w:p>
    <w:p w:rsidR="00E4344C" w:rsidRPr="00D260B6" w:rsidRDefault="00E4344C" w:rsidP="00E4344C">
      <w:pPr>
        <w:jc w:val="both"/>
        <w:rPr>
          <w:rFonts w:ascii="Book Antiqua" w:hAnsi="Book Antiqua"/>
        </w:rPr>
      </w:pPr>
    </w:p>
    <w:sectPr w:rsidR="00E4344C" w:rsidRPr="00D260B6" w:rsidSect="00127DA4">
      <w:headerReference w:type="even" r:id="rId11"/>
      <w:headerReference w:type="default" r:id="rId12"/>
      <w:footerReference w:type="even" r:id="rId13"/>
      <w:footerReference w:type="default" r:id="rId14"/>
      <w:headerReference w:type="first" r:id="rId15"/>
      <w:footerReference w:type="first" r:id="rId16"/>
      <w:pgSz w:w="12240" w:h="15840"/>
      <w:pgMar w:top="1021" w:right="1701" w:bottom="1418" w:left="1701" w:header="708" w:footer="708" w:gutter="0"/>
      <w:pgBorders w:offsetFrom="page">
        <w:top w:val="eggsBlack" w:sz="31" w:space="24" w:color="auto"/>
        <w:left w:val="eggsBlack" w:sz="31" w:space="24" w:color="auto"/>
        <w:bottom w:val="eggsBlack" w:sz="31" w:space="24" w:color="auto"/>
        <w:right w:val="eggsBlack"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46" w:rsidRDefault="00726E46" w:rsidP="00D260B6">
      <w:pPr>
        <w:spacing w:after="0" w:line="240" w:lineRule="auto"/>
      </w:pPr>
      <w:r>
        <w:separator/>
      </w:r>
    </w:p>
  </w:endnote>
  <w:endnote w:type="continuationSeparator" w:id="0">
    <w:p w:rsidR="00726E46" w:rsidRDefault="00726E46" w:rsidP="00D2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B6" w:rsidRDefault="00D260B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B6" w:rsidRDefault="00D260B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B6" w:rsidRDefault="00D260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46" w:rsidRDefault="00726E46" w:rsidP="00D260B6">
      <w:pPr>
        <w:spacing w:after="0" w:line="240" w:lineRule="auto"/>
      </w:pPr>
      <w:r>
        <w:separator/>
      </w:r>
    </w:p>
  </w:footnote>
  <w:footnote w:type="continuationSeparator" w:id="0">
    <w:p w:rsidR="00726E46" w:rsidRDefault="00726E46" w:rsidP="00D2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B6" w:rsidRDefault="00D260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80092"/>
      <w:docPartObj>
        <w:docPartGallery w:val="Watermarks"/>
        <w:docPartUnique/>
      </w:docPartObj>
    </w:sdtPr>
    <w:sdtContent>
      <w:p w:rsidR="00D260B6" w:rsidRDefault="00A16C2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453720" o:spid="_x0000_s2056" type="#_x0000_t136" style="position:absolute;margin-left:0;margin-top:0;width:389.4pt;height:233.6pt;rotation:315;z-index:-251657216;mso-position-horizontal:center;mso-position-horizontal-relative:margin;mso-position-vertical:center;mso-position-vertical-relative:margin" o:allowincell="f" fillcolor="#0070c0" stroked="f">
              <v:fill opacity=".5"/>
              <v:textpath style="font-family:&quot;calibri&quot;;font-size:1pt" string="Victor "/>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B6" w:rsidRDefault="00D260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4C"/>
    <w:rsid w:val="00127DA4"/>
    <w:rsid w:val="0028151A"/>
    <w:rsid w:val="003A67D4"/>
    <w:rsid w:val="00726E46"/>
    <w:rsid w:val="00A16C21"/>
    <w:rsid w:val="00D260B6"/>
    <w:rsid w:val="00E06FA4"/>
    <w:rsid w:val="00E4344C"/>
    <w:rsid w:val="00F028B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445DF27"/>
  <w15:chartTrackingRefBased/>
  <w15:docId w15:val="{C2706F7B-5761-404C-82F6-8E3F879C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4344C"/>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4344C"/>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E4344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E4344C"/>
    <w:rPr>
      <w:color w:val="0000FF"/>
      <w:u w:val="single"/>
    </w:rPr>
  </w:style>
  <w:style w:type="character" w:styleId="Textoennegrita">
    <w:name w:val="Strong"/>
    <w:basedOn w:val="Fuentedeprrafopredeter"/>
    <w:uiPriority w:val="22"/>
    <w:qFormat/>
    <w:rsid w:val="00E4344C"/>
    <w:rPr>
      <w:b/>
      <w:bCs/>
    </w:rPr>
  </w:style>
  <w:style w:type="character" w:styleId="nfasis">
    <w:name w:val="Emphasis"/>
    <w:basedOn w:val="Fuentedeprrafopredeter"/>
    <w:uiPriority w:val="20"/>
    <w:qFormat/>
    <w:rsid w:val="00E4344C"/>
    <w:rPr>
      <w:i/>
      <w:iCs/>
    </w:rPr>
  </w:style>
  <w:style w:type="paragraph" w:styleId="Encabezado">
    <w:name w:val="header"/>
    <w:basedOn w:val="Normal"/>
    <w:link w:val="EncabezadoCar"/>
    <w:uiPriority w:val="99"/>
    <w:unhideWhenUsed/>
    <w:rsid w:val="00D26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0B6"/>
  </w:style>
  <w:style w:type="paragraph" w:styleId="Piedepgina">
    <w:name w:val="footer"/>
    <w:basedOn w:val="Normal"/>
    <w:link w:val="PiedepginaCar"/>
    <w:uiPriority w:val="99"/>
    <w:unhideWhenUsed/>
    <w:rsid w:val="00D26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ialogue.org/tecnologia-e-innovacion/?lang=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dialogue.org/analysis/practica-docente-durante-covid-1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dialogue.org/programs/programs/education/analysis/" TargetMode="External"/><Relationship Id="rId4" Type="http://schemas.openxmlformats.org/officeDocument/2006/relationships/webSettings" Target="webSettings.xml"/><Relationship Id="rId9" Type="http://schemas.openxmlformats.org/officeDocument/2006/relationships/hyperlink" Target="https://www.thedialogue.org/blogs/2020/07/desafios-de-conectividad/?lang=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E8CF-308B-4EB4-B812-FF68C0BD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760</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Usuario</cp:lastModifiedBy>
  <cp:revision>3</cp:revision>
  <dcterms:created xsi:type="dcterms:W3CDTF">2022-04-22T14:21:00Z</dcterms:created>
  <dcterms:modified xsi:type="dcterms:W3CDTF">2022-04-28T18:33:00Z</dcterms:modified>
</cp:coreProperties>
</file>