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A56A" w14:textId="7C9AE1F1" w:rsidR="00D179FD" w:rsidRDefault="00321F28">
      <w:r w:rsidRPr="00321F28">
        <w:t>Nombra dos características de la pintura romántica de las que aparecen en el esquema.</w:t>
      </w:r>
    </w:p>
    <w:p w14:paraId="50E7A860" w14:textId="7BBDC5B1" w:rsidR="00321F28" w:rsidRDefault="00321F28">
      <w:r>
        <w:t>Temáticas exóticas, mundos subjetivos.</w:t>
      </w:r>
    </w:p>
    <w:p w14:paraId="12A58F10" w14:textId="6C46A24D" w:rsidR="00321F28" w:rsidRDefault="00321F28">
      <w:r>
        <w:t>Predominio del color</w:t>
      </w:r>
    </w:p>
    <w:sectPr w:rsidR="00321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28"/>
    <w:rsid w:val="00321F28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03FF"/>
  <w15:chartTrackingRefBased/>
  <w15:docId w15:val="{2B96CB59-780E-472F-9D4D-00947CFB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2023-05-31T23:18:00Z</dcterms:created>
  <dcterms:modified xsi:type="dcterms:W3CDTF">2023-05-31T23:22:00Z</dcterms:modified>
</cp:coreProperties>
</file>