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B053" w14:textId="350C95B0" w:rsidR="00A62B52" w:rsidRDefault="00A62B52" w:rsidP="00A62B52">
      <w:pPr>
        <w:jc w:val="center"/>
        <w:rPr>
          <w:rFonts w:ascii="Algerian" w:hAnsi="Algerian"/>
          <w:color w:val="FF0000"/>
          <w:sz w:val="24"/>
          <w:szCs w:val="24"/>
          <w:lang w:val="es-MX"/>
        </w:rPr>
      </w:pPr>
      <w:r w:rsidRPr="00A62B52">
        <w:rPr>
          <w:rFonts w:ascii="Algerian" w:hAnsi="Algerian"/>
          <w:color w:val="FF0000"/>
          <w:sz w:val="24"/>
          <w:szCs w:val="24"/>
          <w:lang w:val="es-MX"/>
        </w:rPr>
        <w:t>Noticias del día de mi nacimiento</w:t>
      </w:r>
    </w:p>
    <w:p w14:paraId="3ED74E7D" w14:textId="62437295" w:rsidR="00A62B52" w:rsidRPr="00A62B52" w:rsidRDefault="00A62B52" w:rsidP="00A62B52">
      <w:pPr>
        <w:pStyle w:val="Prrafodelista"/>
        <w:numPr>
          <w:ilvl w:val="0"/>
          <w:numId w:val="1"/>
        </w:numPr>
        <w:rPr>
          <w:rFonts w:ascii="Algerian" w:hAnsi="Algerian"/>
          <w:color w:val="7030A0"/>
          <w:lang w:val="es-MX"/>
        </w:rPr>
      </w:pPr>
      <w:r w:rsidRPr="00A62B52">
        <w:rPr>
          <w:rFonts w:ascii="Algerian" w:hAnsi="Algerian"/>
          <w:color w:val="7030A0"/>
          <w:lang w:val="es-MX"/>
        </w:rPr>
        <w:t>Declaración de la guerra contra el terrorismo.</w:t>
      </w:r>
    </w:p>
    <w:p w14:paraId="4F25EE53" w14:textId="62956D33" w:rsidR="00A62B52" w:rsidRDefault="00A62B52" w:rsidP="00A62B52">
      <w:pPr>
        <w:ind w:left="360"/>
        <w:rPr>
          <w:rFonts w:asciiTheme="majorHAnsi" w:hAnsiTheme="majorHAnsi" w:cstheme="majorHAnsi"/>
          <w:color w:val="000000"/>
          <w:sz w:val="20"/>
          <w:szCs w:val="20"/>
          <w:shd w:val="clear" w:color="auto" w:fill="D5E5EB"/>
        </w:rPr>
      </w:pPr>
      <w:r w:rsidRPr="00A62B52">
        <w:rPr>
          <w:rFonts w:asciiTheme="majorHAnsi" w:hAnsiTheme="majorHAnsi" w:cstheme="majorHAnsi"/>
          <w:color w:val="000000"/>
          <w:sz w:val="20"/>
          <w:szCs w:val="20"/>
          <w:shd w:val="clear" w:color="auto" w:fill="D5E5EB"/>
        </w:rPr>
        <w:t> </w:t>
      </w:r>
      <w:r w:rsidRPr="00A62B52">
        <w:rPr>
          <w:rFonts w:asciiTheme="majorHAnsi" w:hAnsiTheme="majorHAnsi" w:cstheme="majorHAnsi"/>
          <w:color w:val="000000"/>
          <w:sz w:val="20"/>
          <w:szCs w:val="20"/>
          <w:shd w:val="clear" w:color="auto" w:fill="D5E5EB"/>
        </w:rPr>
        <w:t xml:space="preserve">En </w:t>
      </w:r>
      <w:r w:rsidRPr="00A62B52">
        <w:rPr>
          <w:rFonts w:asciiTheme="majorHAnsi" w:hAnsiTheme="majorHAnsi" w:cstheme="majorHAnsi"/>
          <w:color w:val="000000"/>
          <w:sz w:val="20"/>
          <w:szCs w:val="20"/>
          <w:shd w:val="clear" w:color="auto" w:fill="D5E5EB"/>
        </w:rPr>
        <w:t>la guerra contra el terrorismo, Iraq es ahora un frente central. y durante las últimas semanas, he estado hablando sobre nuestra estrategia política, económica y militar para la victoria en ese país. Mañana se celebrarán elecciones históricas en Iraq. Y ya que millones de iraquíes están por emitir sus votos, deseo hablar hoy sobre por qué fuimos a la guerra en Iraq, por qué permanecemos en Iraq y por qué no podemos salir de Iraq -ni lo haremos- hasta que se logre la victoria.</w:t>
      </w:r>
      <w:r w:rsidR="00D52F5E">
        <w:rPr>
          <w:rFonts w:asciiTheme="majorHAnsi" w:hAnsiTheme="majorHAnsi" w:cstheme="majorHAnsi"/>
          <w:color w:val="000000"/>
          <w:sz w:val="20"/>
          <w:szCs w:val="20"/>
          <w:shd w:val="clear" w:color="auto" w:fill="D5E5EB"/>
        </w:rPr>
        <w:t xml:space="preserve">                                     </w:t>
      </w:r>
      <w:r w:rsidR="00D52F5E">
        <w:rPr>
          <w:rFonts w:asciiTheme="majorHAnsi" w:hAnsiTheme="majorHAnsi" w:cstheme="majorHAnsi"/>
          <w:noProof/>
          <w:color w:val="000000"/>
          <w:sz w:val="20"/>
          <w:szCs w:val="20"/>
          <w:shd w:val="clear" w:color="auto" w:fill="D5E5EB"/>
        </w:rPr>
        <w:drawing>
          <wp:inline distT="0" distB="0" distL="0" distR="0" wp14:anchorId="4B2574A5" wp14:editId="1E2DEACD">
            <wp:extent cx="2581910" cy="1774825"/>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910" cy="1774825"/>
                    </a:xfrm>
                    <a:prstGeom prst="rect">
                      <a:avLst/>
                    </a:prstGeom>
                    <a:noFill/>
                    <a:ln>
                      <a:noFill/>
                    </a:ln>
                  </pic:spPr>
                </pic:pic>
              </a:graphicData>
            </a:graphic>
          </wp:inline>
        </w:drawing>
      </w:r>
    </w:p>
    <w:p w14:paraId="5ED06AF8" w14:textId="1613B4DB" w:rsidR="00A62B52" w:rsidRDefault="00B97595" w:rsidP="00A62B52">
      <w:pPr>
        <w:pStyle w:val="Prrafodelista"/>
        <w:numPr>
          <w:ilvl w:val="0"/>
          <w:numId w:val="1"/>
        </w:numPr>
        <w:rPr>
          <w:rFonts w:ascii="Algerian" w:hAnsi="Algerian" w:cstheme="majorHAnsi"/>
          <w:color w:val="7030A0"/>
          <w:sz w:val="24"/>
          <w:szCs w:val="24"/>
          <w:lang w:val="es-MX"/>
        </w:rPr>
      </w:pPr>
      <w:r w:rsidRPr="004F1CB1">
        <w:rPr>
          <w:rFonts w:ascii="Algerian" w:hAnsi="Algerian" w:cstheme="majorHAnsi"/>
          <w:color w:val="7030A0"/>
          <w:sz w:val="24"/>
          <w:szCs w:val="24"/>
          <w:lang w:val="es-MX"/>
        </w:rPr>
        <w:t>Quema del diablo</w:t>
      </w:r>
      <w:r w:rsidR="004F1CB1">
        <w:rPr>
          <w:rFonts w:ascii="Algerian" w:hAnsi="Algerian" w:cstheme="majorHAnsi"/>
          <w:color w:val="7030A0"/>
          <w:sz w:val="24"/>
          <w:szCs w:val="24"/>
          <w:lang w:val="es-MX"/>
        </w:rPr>
        <w:t xml:space="preserve">. </w:t>
      </w:r>
    </w:p>
    <w:p w14:paraId="0D0DE645" w14:textId="07B39D31" w:rsidR="004F1CB1" w:rsidRDefault="004F1CB1" w:rsidP="004F1CB1">
      <w:pPr>
        <w:ind w:left="360"/>
        <w:rPr>
          <w:noProof/>
        </w:rPr>
      </w:pPr>
      <w:r>
        <w:rPr>
          <w:rFonts w:asciiTheme="majorHAnsi" w:hAnsiTheme="majorHAnsi" w:cstheme="majorHAnsi"/>
          <w:lang w:val="es-MX"/>
        </w:rPr>
        <w:t xml:space="preserve">En este día tan icónico de Guatemala con respecto a la famosa quema del diablo la cual es realizada para simbolizar la caída del ser conocido como diablo el cual se realiza como tradición de origen religioso </w:t>
      </w:r>
      <w:r>
        <w:rPr>
          <w:noProof/>
        </w:rPr>
        <w:t xml:space="preserve">                                                                                                                            </w:t>
      </w:r>
      <w:r w:rsidRPr="004F1CB1">
        <w:rPr>
          <w:b/>
          <w:bCs/>
          <w:noProof/>
        </w:rPr>
        <w:drawing>
          <wp:inline distT="0" distB="0" distL="0" distR="0" wp14:anchorId="268F7C14" wp14:editId="60FDE7D4">
            <wp:extent cx="2589519" cy="1736090"/>
            <wp:effectExtent l="0" t="0" r="1905" b="0"/>
            <wp:docPr id="2" name="Imagen 2" descr="Historia de la tradición de la Quema del Diablo – Prens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oria de la tradición de la Quema del Diablo – Prensa Lib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9534" cy="1749509"/>
                    </a:xfrm>
                    <a:prstGeom prst="rect">
                      <a:avLst/>
                    </a:prstGeom>
                    <a:noFill/>
                    <a:ln>
                      <a:noFill/>
                    </a:ln>
                  </pic:spPr>
                </pic:pic>
              </a:graphicData>
            </a:graphic>
          </wp:inline>
        </w:drawing>
      </w:r>
    </w:p>
    <w:p w14:paraId="10A206DE" w14:textId="63538478" w:rsidR="004F1CB1" w:rsidRDefault="00D52F5E" w:rsidP="004F1CB1">
      <w:pPr>
        <w:pStyle w:val="Prrafodelista"/>
        <w:numPr>
          <w:ilvl w:val="0"/>
          <w:numId w:val="1"/>
        </w:numPr>
        <w:rPr>
          <w:rFonts w:ascii="Algerian" w:hAnsi="Algerian" w:cstheme="majorHAnsi"/>
          <w:color w:val="7030A0"/>
          <w:sz w:val="24"/>
          <w:szCs w:val="24"/>
          <w:lang w:val="es-MX"/>
        </w:rPr>
      </w:pPr>
      <w:r w:rsidRPr="00D52F5E">
        <w:rPr>
          <w:rFonts w:ascii="Algerian" w:hAnsi="Algerian" w:cstheme="majorHAnsi"/>
          <w:color w:val="7030A0"/>
          <w:sz w:val="24"/>
          <w:szCs w:val="24"/>
          <w:lang w:val="es-MX"/>
        </w:rPr>
        <w:t xml:space="preserve">Se Aprueba la ley anti tabaco. </w:t>
      </w:r>
    </w:p>
    <w:p w14:paraId="270B1DF1" w14:textId="77777777" w:rsidR="00D52F5E" w:rsidRPr="00D52F5E" w:rsidRDefault="00D52F5E" w:rsidP="00D52F5E">
      <w:pPr>
        <w:pStyle w:val="NormalWeb"/>
        <w:shd w:val="clear" w:color="auto" w:fill="FFFFFF"/>
        <w:spacing w:before="120" w:beforeAutospacing="0" w:after="120" w:afterAutospacing="0"/>
        <w:ind w:left="720"/>
        <w:rPr>
          <w:rFonts w:asciiTheme="majorHAnsi" w:hAnsiTheme="majorHAnsi" w:cstheme="majorHAnsi"/>
          <w:color w:val="000000" w:themeColor="text1"/>
          <w:sz w:val="22"/>
          <w:szCs w:val="22"/>
        </w:rPr>
      </w:pPr>
      <w:r w:rsidRPr="00D52F5E">
        <w:rPr>
          <w:rFonts w:asciiTheme="majorHAnsi" w:hAnsiTheme="majorHAnsi" w:cstheme="majorHAnsi"/>
          <w:b/>
          <w:bCs/>
          <w:color w:val="000000" w:themeColor="text1"/>
          <w:sz w:val="22"/>
          <w:szCs w:val="22"/>
        </w:rPr>
        <w:t>Ley 28/2005, de 26 de diciembre, de medidas sanitarias frente al tabaquismo y reguladora de la venta, el suministro, el consumo y la publicidad de los productos del tabaco</w:t>
      </w:r>
      <w:r w:rsidRPr="00D52F5E">
        <w:rPr>
          <w:rFonts w:asciiTheme="majorHAnsi" w:hAnsiTheme="majorHAnsi" w:cstheme="majorHAnsi"/>
          <w:color w:val="000000" w:themeColor="text1"/>
          <w:sz w:val="22"/>
          <w:szCs w:val="22"/>
        </w:rPr>
        <w:t>, más conocida como </w:t>
      </w:r>
      <w:r w:rsidRPr="00D52F5E">
        <w:rPr>
          <w:rFonts w:asciiTheme="majorHAnsi" w:hAnsiTheme="majorHAnsi" w:cstheme="majorHAnsi"/>
          <w:b/>
          <w:bCs/>
          <w:color w:val="000000" w:themeColor="text1"/>
          <w:sz w:val="22"/>
          <w:szCs w:val="22"/>
        </w:rPr>
        <w:t>nueva ley antitabaco</w:t>
      </w:r>
      <w:r w:rsidRPr="00D52F5E">
        <w:rPr>
          <w:rFonts w:asciiTheme="majorHAnsi" w:hAnsiTheme="majorHAnsi" w:cstheme="majorHAnsi"/>
          <w:color w:val="000000" w:themeColor="text1"/>
          <w:sz w:val="22"/>
          <w:szCs w:val="22"/>
        </w:rPr>
        <w:t>, entró en vigor el 2 de enero de </w:t>
      </w:r>
      <w:hyperlink r:id="rId7" w:tooltip="2011" w:history="1">
        <w:r w:rsidRPr="00D52F5E">
          <w:rPr>
            <w:rStyle w:val="Hipervnculo"/>
            <w:rFonts w:asciiTheme="majorHAnsi" w:hAnsiTheme="majorHAnsi" w:cstheme="majorHAnsi"/>
            <w:color w:val="000000" w:themeColor="text1"/>
            <w:sz w:val="22"/>
            <w:szCs w:val="22"/>
            <w:u w:val="none"/>
          </w:rPr>
          <w:t>2011</w:t>
        </w:r>
      </w:hyperlink>
      <w:r w:rsidRPr="00D52F5E">
        <w:rPr>
          <w:rFonts w:asciiTheme="majorHAnsi" w:hAnsiTheme="majorHAnsi" w:cstheme="majorHAnsi"/>
          <w:color w:val="000000" w:themeColor="text1"/>
          <w:sz w:val="22"/>
          <w:szCs w:val="22"/>
        </w:rPr>
        <w:t>, como modificación de la anterior </w:t>
      </w:r>
      <w:hyperlink r:id="rId8" w:tooltip="Ley antitabaco de España de 2006" w:history="1">
        <w:r w:rsidRPr="00D52F5E">
          <w:rPr>
            <w:rStyle w:val="Hipervnculo"/>
            <w:rFonts w:asciiTheme="majorHAnsi" w:hAnsiTheme="majorHAnsi" w:cstheme="majorHAnsi"/>
            <w:color w:val="000000" w:themeColor="text1"/>
            <w:sz w:val="22"/>
            <w:szCs w:val="22"/>
            <w:u w:val="none"/>
          </w:rPr>
          <w:t>ley antitabaco de 2006</w:t>
        </w:r>
      </w:hyperlink>
      <w:r w:rsidRPr="00D52F5E">
        <w:rPr>
          <w:rFonts w:asciiTheme="majorHAnsi" w:hAnsiTheme="majorHAnsi" w:cstheme="majorHAnsi"/>
          <w:color w:val="000000" w:themeColor="text1"/>
          <w:sz w:val="22"/>
          <w:szCs w:val="22"/>
        </w:rPr>
        <w:t>, y cuyas medidas de mayor repercusión social son la extensión de la prohibición de fumar a cualquier tipo espacio de uso colectivo, local abierto al público, que no esté al aire libre, con una única excepción otorgada a </w:t>
      </w:r>
      <w:hyperlink r:id="rId9" w:tooltip="Prisión" w:history="1">
        <w:r w:rsidRPr="00D52F5E">
          <w:rPr>
            <w:rStyle w:val="Hipervnculo"/>
            <w:rFonts w:asciiTheme="majorHAnsi" w:hAnsiTheme="majorHAnsi" w:cstheme="majorHAnsi"/>
            <w:color w:val="000000" w:themeColor="text1"/>
            <w:sz w:val="22"/>
            <w:szCs w:val="22"/>
            <w:u w:val="none"/>
          </w:rPr>
          <w:t>centros de internamiento penitenciario</w:t>
        </w:r>
      </w:hyperlink>
      <w:r w:rsidRPr="00D52F5E">
        <w:rPr>
          <w:rFonts w:asciiTheme="majorHAnsi" w:hAnsiTheme="majorHAnsi" w:cstheme="majorHAnsi"/>
          <w:color w:val="000000" w:themeColor="text1"/>
          <w:sz w:val="22"/>
          <w:szCs w:val="22"/>
        </w:rPr>
        <w:t> y </w:t>
      </w:r>
      <w:hyperlink r:id="rId10" w:tooltip="Hospital psiquiátrico" w:history="1">
        <w:r w:rsidRPr="00D52F5E">
          <w:rPr>
            <w:rStyle w:val="Hipervnculo"/>
            <w:rFonts w:asciiTheme="majorHAnsi" w:hAnsiTheme="majorHAnsi" w:cstheme="majorHAnsi"/>
            <w:color w:val="000000" w:themeColor="text1"/>
            <w:sz w:val="22"/>
            <w:szCs w:val="22"/>
            <w:u w:val="none"/>
          </w:rPr>
          <w:t>psiquiátrico</w:t>
        </w:r>
      </w:hyperlink>
      <w:r w:rsidRPr="00D52F5E">
        <w:rPr>
          <w:rFonts w:asciiTheme="majorHAnsi" w:hAnsiTheme="majorHAnsi" w:cstheme="majorHAnsi"/>
          <w:color w:val="000000" w:themeColor="text1"/>
          <w:sz w:val="22"/>
          <w:szCs w:val="22"/>
        </w:rPr>
        <w:t> y en zonas y habitaciones delimitadas en centros residenciales de mayores.</w:t>
      </w:r>
    </w:p>
    <w:p w14:paraId="70886BDB" w14:textId="77777777" w:rsidR="00D52F5E" w:rsidRPr="00D52F5E" w:rsidRDefault="00D52F5E" w:rsidP="00D52F5E">
      <w:pPr>
        <w:pStyle w:val="NormalWeb"/>
        <w:shd w:val="clear" w:color="auto" w:fill="FFFFFF"/>
        <w:spacing w:before="120" w:beforeAutospacing="0" w:after="120" w:afterAutospacing="0"/>
        <w:ind w:left="720"/>
        <w:rPr>
          <w:rFonts w:asciiTheme="majorHAnsi" w:hAnsiTheme="majorHAnsi" w:cstheme="majorHAnsi"/>
          <w:color w:val="000000" w:themeColor="text1"/>
          <w:sz w:val="22"/>
          <w:szCs w:val="22"/>
        </w:rPr>
      </w:pPr>
      <w:r w:rsidRPr="00D52F5E">
        <w:rPr>
          <w:rFonts w:asciiTheme="majorHAnsi" w:hAnsiTheme="majorHAnsi" w:cstheme="majorHAnsi"/>
          <w:color w:val="000000" w:themeColor="text1"/>
          <w:sz w:val="22"/>
          <w:szCs w:val="22"/>
        </w:rPr>
        <w:t>La modificación legislativa introdujo, entre otros, cambios dirigidos a la lucha contra el </w:t>
      </w:r>
      <w:hyperlink r:id="rId11" w:tooltip="Tabaquismo" w:history="1">
        <w:r w:rsidRPr="00D52F5E">
          <w:rPr>
            <w:rStyle w:val="Hipervnculo"/>
            <w:rFonts w:asciiTheme="majorHAnsi" w:hAnsiTheme="majorHAnsi" w:cstheme="majorHAnsi"/>
            <w:color w:val="000000" w:themeColor="text1"/>
            <w:sz w:val="22"/>
            <w:szCs w:val="22"/>
            <w:u w:val="none"/>
          </w:rPr>
          <w:t>tabaquismo</w:t>
        </w:r>
      </w:hyperlink>
      <w:r w:rsidRPr="00D52F5E">
        <w:rPr>
          <w:rFonts w:asciiTheme="majorHAnsi" w:hAnsiTheme="majorHAnsi" w:cstheme="majorHAnsi"/>
          <w:color w:val="000000" w:themeColor="text1"/>
          <w:sz w:val="22"/>
          <w:szCs w:val="22"/>
        </w:rPr>
        <w:t> (deshabituación tabáquica), a la protección de los ciudadanos —</w:t>
      </w:r>
      <w:r w:rsidRPr="00D52F5E">
        <w:rPr>
          <w:rFonts w:asciiTheme="majorHAnsi" w:hAnsiTheme="majorHAnsi" w:cstheme="majorHAnsi"/>
          <w:color w:val="000000" w:themeColor="text1"/>
          <w:sz w:val="22"/>
          <w:szCs w:val="22"/>
        </w:rPr>
        <w:lastRenderedPageBreak/>
        <w:t>particularmente de los menores— y los no </w:t>
      </w:r>
      <w:hyperlink r:id="rId12" w:tooltip="Fumador" w:history="1">
        <w:r w:rsidRPr="00D52F5E">
          <w:rPr>
            <w:rStyle w:val="Hipervnculo"/>
            <w:rFonts w:asciiTheme="majorHAnsi" w:hAnsiTheme="majorHAnsi" w:cstheme="majorHAnsi"/>
            <w:color w:val="000000" w:themeColor="text1"/>
            <w:sz w:val="22"/>
            <w:szCs w:val="22"/>
            <w:u w:val="none"/>
          </w:rPr>
          <w:t>fumadores</w:t>
        </w:r>
      </w:hyperlink>
      <w:r w:rsidRPr="00D52F5E">
        <w:rPr>
          <w:rFonts w:asciiTheme="majorHAnsi" w:hAnsiTheme="majorHAnsi" w:cstheme="majorHAnsi"/>
          <w:color w:val="000000" w:themeColor="text1"/>
          <w:sz w:val="22"/>
          <w:szCs w:val="22"/>
        </w:rPr>
        <w:t>, especialmente mediante la redacción de sus artículos 12 y 13. Aunque muchos menores de edad consumen tabaco al margen de la ley, lo cual el responsable de la distribución de estos elementos podría ser sancionado al ser el responsable de que un menor tenga acceso al tabaco.</w:t>
      </w:r>
    </w:p>
    <w:p w14:paraId="3C9EB170" w14:textId="77777777" w:rsidR="00D52F5E" w:rsidRPr="00D52F5E" w:rsidRDefault="00D52F5E" w:rsidP="00D52F5E">
      <w:pPr>
        <w:pStyle w:val="NormalWeb"/>
        <w:shd w:val="clear" w:color="auto" w:fill="FFFFFF"/>
        <w:spacing w:before="120" w:beforeAutospacing="0" w:after="120" w:afterAutospacing="0"/>
        <w:ind w:left="720"/>
        <w:rPr>
          <w:rFonts w:asciiTheme="majorHAnsi" w:hAnsiTheme="majorHAnsi" w:cstheme="majorHAnsi"/>
          <w:color w:val="000000" w:themeColor="text1"/>
          <w:sz w:val="22"/>
          <w:szCs w:val="22"/>
        </w:rPr>
      </w:pPr>
      <w:r w:rsidRPr="00D52F5E">
        <w:rPr>
          <w:rFonts w:asciiTheme="majorHAnsi" w:hAnsiTheme="majorHAnsi" w:cstheme="majorHAnsi"/>
          <w:color w:val="000000" w:themeColor="text1"/>
          <w:sz w:val="22"/>
          <w:szCs w:val="22"/>
        </w:rPr>
        <w:t>Con respecto a la prohibición de fumar en ciertos espacios públicos, se modifica el artículo 2 de la ley anterior</w:t>
      </w:r>
      <w:hyperlink r:id="rId13" w:anchor="cite_note-Ley_28-1" w:history="1">
        <w:r w:rsidRPr="00D52F5E">
          <w:rPr>
            <w:rStyle w:val="Hipervnculo"/>
            <w:rFonts w:asciiTheme="majorHAnsi" w:hAnsiTheme="majorHAnsi" w:cstheme="majorHAnsi"/>
            <w:color w:val="000000" w:themeColor="text1"/>
            <w:sz w:val="22"/>
            <w:szCs w:val="22"/>
            <w:u w:val="none"/>
            <w:vertAlign w:val="superscript"/>
          </w:rPr>
          <w:t>1</w:t>
        </w:r>
      </w:hyperlink>
      <w:r w:rsidRPr="00D52F5E">
        <w:rPr>
          <w:rFonts w:asciiTheme="majorHAnsi" w:hAnsiTheme="majorHAnsi" w:cstheme="majorHAnsi"/>
          <w:color w:val="000000" w:themeColor="text1"/>
          <w:sz w:val="22"/>
          <w:szCs w:val="22"/>
        </w:rPr>
        <w:t>​ delimitando la definición de </w:t>
      </w:r>
      <w:r w:rsidRPr="00D52F5E">
        <w:rPr>
          <w:rFonts w:asciiTheme="majorHAnsi" w:hAnsiTheme="majorHAnsi" w:cstheme="majorHAnsi"/>
          <w:b/>
          <w:bCs/>
          <w:color w:val="000000" w:themeColor="text1"/>
          <w:sz w:val="22"/>
          <w:szCs w:val="22"/>
        </w:rPr>
        <w:t>espacio al aire libre</w:t>
      </w:r>
      <w:r w:rsidRPr="00D52F5E">
        <w:rPr>
          <w:rFonts w:asciiTheme="majorHAnsi" w:hAnsiTheme="majorHAnsi" w:cstheme="majorHAnsi"/>
          <w:color w:val="000000" w:themeColor="text1"/>
          <w:sz w:val="22"/>
          <w:szCs w:val="22"/>
        </w:rPr>
        <w:t>, lo que reduce la ambigüedad existente a este respecto.</w:t>
      </w:r>
    </w:p>
    <w:p w14:paraId="2F09D959" w14:textId="35D3E510" w:rsidR="00D52F5E" w:rsidRPr="00D52F5E" w:rsidRDefault="00D52F5E" w:rsidP="00D52F5E">
      <w:pPr>
        <w:pStyle w:val="NormalWeb"/>
        <w:shd w:val="clear" w:color="auto" w:fill="FFFFFF"/>
        <w:spacing w:before="120" w:beforeAutospacing="0" w:after="120" w:afterAutospacing="0"/>
        <w:ind w:left="720"/>
        <w:rPr>
          <w:rFonts w:asciiTheme="majorHAnsi" w:hAnsiTheme="majorHAnsi" w:cstheme="majorHAnsi"/>
          <w:color w:val="000000" w:themeColor="text1"/>
          <w:sz w:val="22"/>
          <w:szCs w:val="22"/>
        </w:rPr>
      </w:pPr>
      <w:r w:rsidRPr="00D52F5E">
        <w:rPr>
          <w:rFonts w:asciiTheme="majorHAnsi" w:hAnsiTheme="majorHAnsi" w:cstheme="majorHAnsi"/>
          <w:color w:val="000000" w:themeColor="text1"/>
          <w:sz w:val="22"/>
          <w:szCs w:val="22"/>
        </w:rPr>
        <w:t>Con esta modificación, </w:t>
      </w:r>
      <w:hyperlink r:id="rId14" w:tooltip="España" w:history="1">
        <w:r w:rsidRPr="00D52F5E">
          <w:rPr>
            <w:rStyle w:val="Hipervnculo"/>
            <w:rFonts w:asciiTheme="majorHAnsi" w:hAnsiTheme="majorHAnsi" w:cstheme="majorHAnsi"/>
            <w:color w:val="000000" w:themeColor="text1"/>
            <w:sz w:val="22"/>
            <w:szCs w:val="22"/>
            <w:u w:val="none"/>
          </w:rPr>
          <w:t>España</w:t>
        </w:r>
      </w:hyperlink>
      <w:r w:rsidRPr="00D52F5E">
        <w:rPr>
          <w:rFonts w:asciiTheme="majorHAnsi" w:hAnsiTheme="majorHAnsi" w:cstheme="majorHAnsi"/>
          <w:color w:val="000000" w:themeColor="text1"/>
          <w:sz w:val="22"/>
          <w:szCs w:val="22"/>
        </w:rPr>
        <w:t> pasó a prohibir fumar en espacios al aire libre de </w:t>
      </w:r>
      <w:hyperlink r:id="rId15" w:tooltip="Escuela" w:history="1">
        <w:r w:rsidRPr="00D52F5E">
          <w:rPr>
            <w:rStyle w:val="Hipervnculo"/>
            <w:rFonts w:asciiTheme="majorHAnsi" w:hAnsiTheme="majorHAnsi" w:cstheme="majorHAnsi"/>
            <w:color w:val="000000" w:themeColor="text1"/>
            <w:sz w:val="22"/>
            <w:szCs w:val="22"/>
            <w:u w:val="none"/>
          </w:rPr>
          <w:t>centros educativos</w:t>
        </w:r>
      </w:hyperlink>
      <w:r w:rsidRPr="00D52F5E">
        <w:rPr>
          <w:rFonts w:asciiTheme="majorHAnsi" w:hAnsiTheme="majorHAnsi" w:cstheme="majorHAnsi"/>
          <w:color w:val="000000" w:themeColor="text1"/>
          <w:sz w:val="22"/>
          <w:szCs w:val="22"/>
        </w:rPr>
        <w:t> (excepto universitarios), recintos de centros sanitarios y las zonas acotadas para parques infantiles y zonas de juego para la infancia.</w:t>
      </w:r>
      <w:hyperlink r:id="rId16" w:anchor="cite_note-Ley_28-1" w:history="1">
        <w:r w:rsidRPr="00D52F5E">
          <w:rPr>
            <w:rStyle w:val="Hipervnculo"/>
            <w:rFonts w:asciiTheme="majorHAnsi" w:hAnsiTheme="majorHAnsi" w:cstheme="majorHAnsi"/>
            <w:color w:val="000000" w:themeColor="text1"/>
            <w:sz w:val="22"/>
            <w:szCs w:val="22"/>
            <w:u w:val="none"/>
            <w:vertAlign w:val="superscript"/>
          </w:rPr>
          <w:t>1</w:t>
        </w:r>
      </w:hyperlink>
      <w:r w:rsidRPr="00D52F5E">
        <w:rPr>
          <w:rFonts w:asciiTheme="majorHAnsi" w:hAnsiTheme="majorHAnsi" w:cstheme="majorHAnsi"/>
          <w:color w:val="000000" w:themeColor="text1"/>
          <w:sz w:val="22"/>
          <w:szCs w:val="22"/>
        </w:rPr>
        <w:t>​</w:t>
      </w:r>
      <w:hyperlink r:id="rId17" w:anchor="cite_note-elpais-2" w:history="1">
        <w:r w:rsidRPr="00D52F5E">
          <w:rPr>
            <w:rStyle w:val="Hipervnculo"/>
            <w:rFonts w:asciiTheme="majorHAnsi" w:hAnsiTheme="majorHAnsi" w:cstheme="majorHAnsi"/>
            <w:color w:val="000000" w:themeColor="text1"/>
            <w:sz w:val="22"/>
            <w:szCs w:val="22"/>
            <w:u w:val="none"/>
            <w:vertAlign w:val="superscript"/>
          </w:rPr>
          <w:t>2</w:t>
        </w:r>
      </w:hyperlink>
      <w:r w:rsidRPr="00D52F5E">
        <w:rPr>
          <w:rFonts w:asciiTheme="majorHAnsi" w:hAnsiTheme="majorHAnsi" w:cstheme="majorHAnsi"/>
          <w:color w:val="000000" w:themeColor="text1"/>
          <w:sz w:val="22"/>
          <w:szCs w:val="22"/>
        </w:rPr>
        <w:t>​ Hasta la entrada en vigor de esta ley, únicamente tenían esta restricción algunos estados de </w:t>
      </w:r>
      <w:hyperlink r:id="rId18" w:tooltip="Estados Unidos" w:history="1">
        <w:r w:rsidRPr="00D52F5E">
          <w:rPr>
            <w:rStyle w:val="Hipervnculo"/>
            <w:rFonts w:asciiTheme="majorHAnsi" w:hAnsiTheme="majorHAnsi" w:cstheme="majorHAnsi"/>
            <w:color w:val="000000" w:themeColor="text1"/>
            <w:sz w:val="22"/>
            <w:szCs w:val="22"/>
            <w:u w:val="none"/>
          </w:rPr>
          <w:t>Estados Unidos</w:t>
        </w:r>
      </w:hyperlink>
      <w:r w:rsidRPr="00D52F5E">
        <w:rPr>
          <w:rFonts w:asciiTheme="majorHAnsi" w:hAnsiTheme="majorHAnsi" w:cstheme="majorHAnsi"/>
          <w:color w:val="000000" w:themeColor="text1"/>
          <w:sz w:val="22"/>
          <w:szCs w:val="22"/>
        </w:rPr>
        <w:t> y </w:t>
      </w:r>
      <w:hyperlink r:id="rId19" w:tooltip="Japón" w:history="1">
        <w:r w:rsidRPr="00D52F5E">
          <w:rPr>
            <w:rStyle w:val="Hipervnculo"/>
            <w:rFonts w:asciiTheme="majorHAnsi" w:hAnsiTheme="majorHAnsi" w:cstheme="majorHAnsi"/>
            <w:color w:val="000000" w:themeColor="text1"/>
            <w:sz w:val="22"/>
            <w:szCs w:val="22"/>
            <w:u w:val="none"/>
          </w:rPr>
          <w:t>Japón</w:t>
        </w:r>
      </w:hyperlink>
      <w:r w:rsidRPr="00D52F5E">
        <w:rPr>
          <w:rFonts w:asciiTheme="majorHAnsi" w:hAnsiTheme="majorHAnsi" w:cstheme="majorHAnsi"/>
          <w:color w:val="000000" w:themeColor="text1"/>
          <w:sz w:val="22"/>
          <w:szCs w:val="22"/>
        </w:rPr>
        <w:t>, además de </w:t>
      </w:r>
      <w:hyperlink r:id="rId20" w:tooltip="Bután" w:history="1">
        <w:r w:rsidRPr="00D52F5E">
          <w:rPr>
            <w:rStyle w:val="Hipervnculo"/>
            <w:rFonts w:asciiTheme="majorHAnsi" w:hAnsiTheme="majorHAnsi" w:cstheme="majorHAnsi"/>
            <w:color w:val="000000" w:themeColor="text1"/>
            <w:sz w:val="22"/>
            <w:szCs w:val="22"/>
            <w:u w:val="none"/>
          </w:rPr>
          <w:t>Bután</w:t>
        </w:r>
      </w:hyperlink>
      <w:r w:rsidRPr="00D52F5E">
        <w:rPr>
          <w:rFonts w:asciiTheme="majorHAnsi" w:hAnsiTheme="majorHAnsi" w:cstheme="majorHAnsi"/>
          <w:color w:val="000000" w:themeColor="text1"/>
          <w:sz w:val="22"/>
          <w:szCs w:val="22"/>
        </w:rPr>
        <w:t>, donde está prohibido fumar en toda la nación desde 2004.</w:t>
      </w:r>
      <w:r>
        <w:rPr>
          <w:rFonts w:asciiTheme="majorHAnsi" w:hAnsiTheme="majorHAnsi" w:cstheme="majorHAnsi"/>
          <w:color w:val="000000" w:themeColor="text1"/>
          <w:sz w:val="22"/>
          <w:szCs w:val="22"/>
        </w:rPr>
        <w:t xml:space="preserve">                             </w:t>
      </w:r>
      <w:r>
        <w:rPr>
          <w:rFonts w:asciiTheme="majorHAnsi" w:hAnsiTheme="majorHAnsi" w:cstheme="majorHAnsi"/>
          <w:noProof/>
          <w:color w:val="000000" w:themeColor="text1"/>
          <w:sz w:val="22"/>
          <w:szCs w:val="22"/>
        </w:rPr>
        <w:drawing>
          <wp:inline distT="0" distB="0" distL="0" distR="0" wp14:anchorId="20AF7586" wp14:editId="1D4687C9">
            <wp:extent cx="3058160" cy="1498600"/>
            <wp:effectExtent l="0" t="0" r="889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58160" cy="1498600"/>
                    </a:xfrm>
                    <a:prstGeom prst="rect">
                      <a:avLst/>
                    </a:prstGeom>
                    <a:noFill/>
                    <a:ln>
                      <a:noFill/>
                    </a:ln>
                  </pic:spPr>
                </pic:pic>
              </a:graphicData>
            </a:graphic>
          </wp:inline>
        </w:drawing>
      </w:r>
    </w:p>
    <w:p w14:paraId="160DCB9C" w14:textId="77777777" w:rsidR="00D52F5E" w:rsidRPr="00D52F5E" w:rsidRDefault="00D52F5E" w:rsidP="00D52F5E">
      <w:pPr>
        <w:ind w:left="360"/>
        <w:rPr>
          <w:rFonts w:ascii="Algerian" w:hAnsi="Algerian" w:cstheme="majorHAnsi"/>
          <w:color w:val="7030A0"/>
          <w:sz w:val="24"/>
          <w:szCs w:val="24"/>
          <w:lang w:val="es-MX"/>
        </w:rPr>
      </w:pPr>
    </w:p>
    <w:sectPr w:rsidR="00D52F5E" w:rsidRPr="00D52F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B074F"/>
    <w:multiLevelType w:val="hybridMultilevel"/>
    <w:tmpl w:val="8136628C"/>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52"/>
    <w:rsid w:val="004F1CB1"/>
    <w:rsid w:val="00A62B52"/>
    <w:rsid w:val="00B97595"/>
    <w:rsid w:val="00D52F5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09E6"/>
  <w15:chartTrackingRefBased/>
  <w15:docId w15:val="{A341B278-E4E3-41FB-BBD0-C6C83E77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2B52"/>
    <w:pPr>
      <w:ind w:left="720"/>
      <w:contextualSpacing/>
    </w:pPr>
  </w:style>
  <w:style w:type="paragraph" w:styleId="NormalWeb">
    <w:name w:val="Normal (Web)"/>
    <w:basedOn w:val="Normal"/>
    <w:uiPriority w:val="99"/>
    <w:semiHidden/>
    <w:unhideWhenUsed/>
    <w:rsid w:val="00D52F5E"/>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semiHidden/>
    <w:unhideWhenUsed/>
    <w:rsid w:val="00D52F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9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Ley_antitabaco_de_Espa%C3%B1a_de_2006" TargetMode="External"/><Relationship Id="rId13" Type="http://schemas.openxmlformats.org/officeDocument/2006/relationships/hyperlink" Target="https://es.wikipedia.org/wiki/Ley_antitabaco_de_Espa%C3%B1a_de_2011" TargetMode="External"/><Relationship Id="rId18" Type="http://schemas.openxmlformats.org/officeDocument/2006/relationships/hyperlink" Target="https://es.wikipedia.org/wiki/Estados_Unidos"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s://es.wikipedia.org/wiki/2011" TargetMode="External"/><Relationship Id="rId12" Type="http://schemas.openxmlformats.org/officeDocument/2006/relationships/hyperlink" Target="https://es.wikipedia.org/wiki/Fumador" TargetMode="External"/><Relationship Id="rId17" Type="http://schemas.openxmlformats.org/officeDocument/2006/relationships/hyperlink" Target="https://es.wikipedia.org/wiki/Ley_antitabaco_de_Espa%C3%B1a_de_2011" TargetMode="External"/><Relationship Id="rId2" Type="http://schemas.openxmlformats.org/officeDocument/2006/relationships/styles" Target="styles.xml"/><Relationship Id="rId16" Type="http://schemas.openxmlformats.org/officeDocument/2006/relationships/hyperlink" Target="https://es.wikipedia.org/wiki/Ley_antitabaco_de_Espa%C3%B1a_de_2011" TargetMode="External"/><Relationship Id="rId20" Type="http://schemas.openxmlformats.org/officeDocument/2006/relationships/hyperlink" Target="https://es.wikipedia.org/wiki/But%C3%A1n"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s.wikipedia.org/wiki/Tabaquismo" TargetMode="External"/><Relationship Id="rId5" Type="http://schemas.openxmlformats.org/officeDocument/2006/relationships/image" Target="media/image1.jpeg"/><Relationship Id="rId15" Type="http://schemas.openxmlformats.org/officeDocument/2006/relationships/hyperlink" Target="https://es.wikipedia.org/wiki/Escuela" TargetMode="External"/><Relationship Id="rId23" Type="http://schemas.openxmlformats.org/officeDocument/2006/relationships/theme" Target="theme/theme1.xml"/><Relationship Id="rId10" Type="http://schemas.openxmlformats.org/officeDocument/2006/relationships/hyperlink" Target="https://es.wikipedia.org/wiki/Hospital_psiqui%C3%A1trico" TargetMode="External"/><Relationship Id="rId19" Type="http://schemas.openxmlformats.org/officeDocument/2006/relationships/hyperlink" Target="https://es.wikipedia.org/wiki/Jap%C3%B3n" TargetMode="External"/><Relationship Id="rId4" Type="http://schemas.openxmlformats.org/officeDocument/2006/relationships/webSettings" Target="webSettings.xml"/><Relationship Id="rId9" Type="http://schemas.openxmlformats.org/officeDocument/2006/relationships/hyperlink" Target="https://es.wikipedia.org/wiki/Prisi%C3%B3n" TargetMode="External"/><Relationship Id="rId14" Type="http://schemas.openxmlformats.org/officeDocument/2006/relationships/hyperlink" Target="https://es.wikipedia.org/wiki/Espa%C3%B1a"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614</Words>
  <Characters>3381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elzorro15ms@outlook.com</dc:creator>
  <cp:keywords/>
  <dc:description/>
  <cp:lastModifiedBy>elzorro15ms@outlook.com</cp:lastModifiedBy>
  <cp:revision>1</cp:revision>
  <dcterms:created xsi:type="dcterms:W3CDTF">2022-02-15T03:11:00Z</dcterms:created>
  <dcterms:modified xsi:type="dcterms:W3CDTF">2022-02-15T03:50:00Z</dcterms:modified>
</cp:coreProperties>
</file>