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page" w:tblpX="843" w:tblpY="144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7"/>
        <w:gridCol w:w="4141"/>
        <w:gridCol w:w="919"/>
        <w:gridCol w:w="1524"/>
        <w:gridCol w:w="1669"/>
        <w:gridCol w:w="970"/>
      </w:tblGrid>
      <w:tr w:rsidR="00AE117A" w:rsidRPr="00252016" w:rsidTr="006358FB">
        <w:trPr>
          <w:trHeight w:val="930"/>
        </w:trPr>
        <w:tc>
          <w:tcPr>
            <w:tcW w:w="7814" w:type="dxa"/>
            <w:gridSpan w:val="4"/>
            <w:vMerge w:val="restart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  <w:sz w:val="40"/>
              </w:rPr>
              <w:t>ENTREGA DE PROYECTO FINAL</w:t>
            </w:r>
          </w:p>
        </w:tc>
        <w:tc>
          <w:tcPr>
            <w:tcW w:w="1691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85" w:type="dxa"/>
            <w:vAlign w:val="center"/>
          </w:tcPr>
          <w:p w:rsidR="00252016" w:rsidRPr="00AE117A" w:rsidRDefault="00D05073" w:rsidP="006358FB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x</w:t>
            </w:r>
          </w:p>
        </w:tc>
      </w:tr>
      <w:tr w:rsidR="00252016" w:rsidRPr="00252016" w:rsidTr="00AE117A">
        <w:trPr>
          <w:trHeight w:val="465"/>
        </w:trPr>
        <w:tc>
          <w:tcPr>
            <w:tcW w:w="7814" w:type="dxa"/>
            <w:gridSpan w:val="4"/>
            <w:vMerge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Align w:val="center"/>
          </w:tcPr>
          <w:p w:rsidR="00252016" w:rsidRPr="00AE117A" w:rsidRDefault="00252016" w:rsidP="006358FB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D05073">
              <w:rPr>
                <w:rFonts w:ascii="Bookman Old Style" w:hAnsi="Bookman Old Style"/>
                <w:b/>
              </w:rPr>
              <w:t xml:space="preserve"> RST</w:t>
            </w:r>
          </w:p>
        </w:tc>
      </w:tr>
      <w:tr w:rsidR="00252016" w:rsidRPr="00252016" w:rsidTr="0015488F">
        <w:trPr>
          <w:trHeight w:val="165"/>
        </w:trPr>
        <w:tc>
          <w:tcPr>
            <w:tcW w:w="7814" w:type="dxa"/>
            <w:gridSpan w:val="4"/>
            <w:vAlign w:val="center"/>
          </w:tcPr>
          <w:p w:rsidR="00252016" w:rsidRPr="00AE117A" w:rsidRDefault="00252016" w:rsidP="001548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76" w:type="dxa"/>
            <w:gridSpan w:val="2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:rsidTr="00AE117A">
        <w:trPr>
          <w:trHeight w:val="690"/>
        </w:trPr>
        <w:tc>
          <w:tcPr>
            <w:tcW w:w="1270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216" w:type="dxa"/>
            <w:vAlign w:val="center"/>
          </w:tcPr>
          <w:p w:rsidR="00252016" w:rsidRPr="00AE117A" w:rsidRDefault="00D05073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Quezada Ralon, Herber Jovany </w:t>
            </w:r>
          </w:p>
        </w:tc>
        <w:tc>
          <w:tcPr>
            <w:tcW w:w="783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45" w:type="dxa"/>
            <w:vAlign w:val="center"/>
          </w:tcPr>
          <w:p w:rsidR="00252016" w:rsidRPr="00AE117A" w:rsidRDefault="00D05073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</w:t>
            </w:r>
          </w:p>
        </w:tc>
        <w:tc>
          <w:tcPr>
            <w:tcW w:w="2676" w:type="dxa"/>
            <w:gridSpan w:val="2"/>
            <w:vMerge w:val="restart"/>
            <w:vAlign w:val="center"/>
          </w:tcPr>
          <w:p w:rsidR="00252016" w:rsidRPr="00252016" w:rsidRDefault="00252016" w:rsidP="00AE117A">
            <w:pPr>
              <w:jc w:val="center"/>
              <w:rPr>
                <w:b/>
              </w:rPr>
            </w:pPr>
          </w:p>
        </w:tc>
      </w:tr>
      <w:tr w:rsidR="00AE117A" w:rsidRPr="00252016" w:rsidTr="00AE117A">
        <w:trPr>
          <w:trHeight w:val="495"/>
        </w:trPr>
        <w:tc>
          <w:tcPr>
            <w:tcW w:w="1270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216" w:type="dxa"/>
            <w:vAlign w:val="center"/>
          </w:tcPr>
          <w:p w:rsidR="00AE117A" w:rsidRPr="00AE117A" w:rsidRDefault="00D05073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17</w:t>
            </w:r>
          </w:p>
        </w:tc>
        <w:tc>
          <w:tcPr>
            <w:tcW w:w="2328" w:type="dxa"/>
            <w:gridSpan w:val="2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  <w:tr w:rsidR="00AE117A" w:rsidRPr="00252016" w:rsidTr="00AE117A">
        <w:trPr>
          <w:trHeight w:val="525"/>
        </w:trPr>
        <w:tc>
          <w:tcPr>
            <w:tcW w:w="1270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216" w:type="dxa"/>
            <w:vAlign w:val="center"/>
          </w:tcPr>
          <w:p w:rsidR="00AE117A" w:rsidRPr="00AE117A" w:rsidRDefault="00D05073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xxxx</w:t>
            </w:r>
          </w:p>
        </w:tc>
        <w:tc>
          <w:tcPr>
            <w:tcW w:w="783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45" w:type="dxa"/>
            <w:vAlign w:val="center"/>
          </w:tcPr>
          <w:p w:rsidR="00AE117A" w:rsidRPr="00AE117A" w:rsidRDefault="00D05073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xxxx</w:t>
            </w:r>
          </w:p>
        </w:tc>
        <w:tc>
          <w:tcPr>
            <w:tcW w:w="2676" w:type="dxa"/>
            <w:gridSpan w:val="2"/>
            <w:vMerge/>
            <w:vAlign w:val="center"/>
          </w:tcPr>
          <w:p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</w:tbl>
    <w:p w:rsidR="00A64598" w:rsidRDefault="00092B42"/>
    <w:p w:rsidR="00AE117A" w:rsidRDefault="00AE117A"/>
    <w:p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:rsidR="00AE117A" w:rsidRDefault="00AE117A"/>
    <w:p w:rsidR="00AE117A" w:rsidRPr="007B1B7D" w:rsidRDefault="00D05073" w:rsidP="007B1B7D">
      <w:pPr>
        <w:pStyle w:val="Ttulo1"/>
        <w:numPr>
          <w:ilvl w:val="0"/>
          <w:numId w:val="2"/>
        </w:numPr>
        <w:jc w:val="both"/>
        <w:rPr>
          <w:rFonts w:ascii="Cascadia Mono" w:hAnsi="Cascadia Mono" w:cs="Cascadia Mono"/>
          <w:color w:val="auto"/>
        </w:rPr>
      </w:pPr>
      <w:r w:rsidRPr="007B1B7D">
        <w:rPr>
          <w:rFonts w:ascii="Cascadia Mono" w:hAnsi="Cascadia Mono" w:cs="Cascadia Mono"/>
          <w:color w:val="auto"/>
        </w:rPr>
        <w:t>Factor de forma pequeña o small (mini-itx)</w:t>
      </w:r>
    </w:p>
    <w:p w:rsidR="00D05073" w:rsidRPr="007B1B7D" w:rsidRDefault="00D05073" w:rsidP="007B1B7D">
      <w:pPr>
        <w:jc w:val="both"/>
        <w:rPr>
          <w:rFonts w:ascii="Cascadia Mono" w:hAnsi="Cascadia Mono" w:cs="Cascadia Mono"/>
          <w:shd w:val="clear" w:color="auto" w:fill="FFFFFF"/>
        </w:rPr>
      </w:pPr>
      <w:r w:rsidRPr="007B1B7D">
        <w:rPr>
          <w:rFonts w:ascii="Cascadia Mono" w:hAnsi="Cascadia Mono" w:cs="Cascadia Mono"/>
          <w:shd w:val="clear" w:color="auto" w:fill="FFFFFF"/>
        </w:rPr>
        <w:t>E</w:t>
      </w:r>
      <w:r w:rsidRPr="007B1B7D">
        <w:rPr>
          <w:rFonts w:ascii="Cascadia Mono" w:hAnsi="Cascadia Mono" w:cs="Cascadia Mono"/>
          <w:shd w:val="clear" w:color="auto" w:fill="FFFFFF"/>
        </w:rPr>
        <w:t>s un formato de placa base de bajo consumo de 6,7 × 6,7 pulgadas. Sus dimensiones son el </w:t>
      </w:r>
      <w:r w:rsidRPr="007B1B7D">
        <w:rPr>
          <w:rFonts w:ascii="Cascadia Mono" w:hAnsi="Cascadia Mono" w:cs="Cascadia Mono"/>
          <w:b/>
          <w:bCs/>
          <w:shd w:val="clear" w:color="auto" w:fill="FFFFFF"/>
        </w:rPr>
        <w:t>factor</w:t>
      </w:r>
      <w:r w:rsidRPr="007B1B7D">
        <w:rPr>
          <w:rFonts w:ascii="Cascadia Mono" w:hAnsi="Cascadia Mono" w:cs="Cascadia Mono"/>
          <w:shd w:val="clear" w:color="auto" w:fill="FFFFFF"/>
        </w:rPr>
        <w:t> más característico de este tipo de </w:t>
      </w:r>
      <w:r w:rsidRPr="007B1B7D">
        <w:rPr>
          <w:rFonts w:ascii="Cascadia Mono" w:hAnsi="Cascadia Mono" w:cs="Cascadia Mono"/>
          <w:b/>
          <w:bCs/>
          <w:shd w:val="clear" w:color="auto" w:fill="FFFFFF"/>
        </w:rPr>
        <w:t>factor de forma</w:t>
      </w:r>
      <w:r w:rsidRPr="007B1B7D">
        <w:rPr>
          <w:rFonts w:ascii="Cascadia Mono" w:hAnsi="Cascadia Mono" w:cs="Cascadia Mono"/>
          <w:shd w:val="clear" w:color="auto" w:fill="FFFFFF"/>
        </w:rPr>
        <w:t>.</w:t>
      </w:r>
    </w:p>
    <w:p w:rsidR="00D05073" w:rsidRPr="007B1B7D" w:rsidRDefault="00D05073" w:rsidP="007B1B7D">
      <w:pPr>
        <w:jc w:val="both"/>
        <w:rPr>
          <w:rFonts w:ascii="Cascadia Mono" w:hAnsi="Cascadia Mono" w:cs="Cascadia Mono"/>
        </w:rPr>
      </w:pPr>
      <w:r w:rsidRPr="007B1B7D">
        <w:rPr>
          <w:rFonts w:ascii="Cascadia Mono" w:hAnsi="Cascadia Mono" w:cs="Cascadia Mono"/>
          <w:noProof/>
          <w:lang w:val="es-MX" w:eastAsia="es-MX"/>
        </w:rPr>
        <w:drawing>
          <wp:inline distT="0" distB="0" distL="0" distR="0" wp14:anchorId="2030F11A" wp14:editId="109E2CBE">
            <wp:extent cx="3659202" cy="2437944"/>
            <wp:effectExtent l="0" t="0" r="0" b="635"/>
            <wp:docPr id="3" name="Imagen 3" descr="Mini-ITX para tu ordenador gamer: ventajas y desventa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-ITX para tu ordenador gamer: ventajas y desventaj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49" cy="244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73" w:rsidRPr="007B1B7D" w:rsidRDefault="00D05073" w:rsidP="007B1B7D">
      <w:pPr>
        <w:jc w:val="both"/>
        <w:rPr>
          <w:rFonts w:ascii="Cascadia Mono" w:hAnsi="Cascadia Mono" w:cs="Cascadia Mono"/>
        </w:rPr>
      </w:pPr>
    </w:p>
    <w:p w:rsidR="003B386B" w:rsidRPr="007B1B7D" w:rsidRDefault="003B386B" w:rsidP="007B1B7D">
      <w:pPr>
        <w:jc w:val="both"/>
        <w:rPr>
          <w:rFonts w:ascii="Cascadia Mono" w:hAnsi="Cascadia Mono" w:cs="Cascadia Mono"/>
        </w:rPr>
      </w:pPr>
    </w:p>
    <w:p w:rsidR="00D05073" w:rsidRPr="007B1B7D" w:rsidRDefault="00D05073" w:rsidP="007B1B7D">
      <w:pPr>
        <w:pStyle w:val="Ttulo1"/>
        <w:numPr>
          <w:ilvl w:val="0"/>
          <w:numId w:val="2"/>
        </w:numPr>
        <w:jc w:val="both"/>
        <w:rPr>
          <w:rFonts w:ascii="Cascadia Mono" w:hAnsi="Cascadia Mono" w:cs="Cascadia Mono"/>
          <w:color w:val="auto"/>
        </w:rPr>
      </w:pPr>
      <w:r w:rsidRPr="007B1B7D">
        <w:rPr>
          <w:rFonts w:ascii="Cascadia Mono" w:hAnsi="Cascadia Mono" w:cs="Cascadia Mono"/>
          <w:color w:val="auto"/>
        </w:rPr>
        <w:t>Mini Torre o Mini Tower( Micro ATX)</w:t>
      </w:r>
    </w:p>
    <w:p w:rsidR="00F9169D" w:rsidRPr="007B1B7D" w:rsidRDefault="00F9169D" w:rsidP="007B1B7D">
      <w:pPr>
        <w:jc w:val="both"/>
        <w:rPr>
          <w:rFonts w:ascii="Cascadia Mono" w:hAnsi="Cascadia Mono" w:cs="Cascadia Mono"/>
        </w:rPr>
      </w:pPr>
      <w:r w:rsidRPr="007B1B7D">
        <w:rPr>
          <w:rFonts w:ascii="Cascadia Mono" w:hAnsi="Cascadia Mono" w:cs="Cascadia Mono"/>
          <w:shd w:val="clear" w:color="auto" w:fill="FFFFFF"/>
        </w:rPr>
        <w:t>Esta </w:t>
      </w:r>
      <w:r w:rsidRPr="007B1B7D">
        <w:rPr>
          <w:rFonts w:ascii="Cascadia Mono" w:hAnsi="Cascadia Mono" w:cs="Cascadia Mono"/>
          <w:b/>
          <w:bCs/>
          <w:shd w:val="clear" w:color="auto" w:fill="FFFFFF"/>
        </w:rPr>
        <w:t>torres</w:t>
      </w:r>
      <w:r w:rsidRPr="007B1B7D">
        <w:rPr>
          <w:rFonts w:ascii="Cascadia Mono" w:hAnsi="Cascadia Mono" w:cs="Cascadia Mono"/>
          <w:shd w:val="clear" w:color="auto" w:fill="FFFFFF"/>
        </w:rPr>
        <w:t> se diseñó y creó con la intención de que sfuera fácil de transportar pero que a su vez permitiera su capacidad de expansión.</w:t>
      </w:r>
    </w:p>
    <w:p w:rsidR="00D05073" w:rsidRPr="007B1B7D" w:rsidRDefault="00D05073" w:rsidP="007B1B7D">
      <w:pPr>
        <w:jc w:val="both"/>
        <w:rPr>
          <w:rFonts w:ascii="Cascadia Mono" w:hAnsi="Cascadia Mono" w:cs="Cascadia Mono"/>
        </w:rPr>
      </w:pPr>
      <w:r w:rsidRPr="007B1B7D">
        <w:rPr>
          <w:rFonts w:ascii="Cascadia Mono" w:hAnsi="Cascadia Mono" w:cs="Cascadia Mono"/>
          <w:noProof/>
          <w:lang w:val="es-MX" w:eastAsia="es-MX"/>
        </w:rPr>
        <w:drawing>
          <wp:inline distT="0" distB="0" distL="0" distR="0" wp14:anchorId="1F2734A4" wp14:editId="3E1B3339">
            <wp:extent cx="2305050" cy="2305050"/>
            <wp:effectExtent l="0" t="0" r="0" b="0"/>
            <wp:docPr id="4" name="Imagen 4" descr="Case MypowerPC Minitorre Micro-ATX 500W | Imeqm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e MypowerPC Minitorre Micro-ATX 500W | Imeqmo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73" w:rsidRPr="007B1B7D" w:rsidRDefault="00D05073" w:rsidP="007B1B7D">
      <w:pPr>
        <w:jc w:val="both"/>
        <w:rPr>
          <w:rFonts w:ascii="Cascadia Mono" w:hAnsi="Cascadia Mono" w:cs="Cascadia Mono"/>
        </w:rPr>
      </w:pPr>
    </w:p>
    <w:p w:rsidR="00AE117A" w:rsidRPr="007B1B7D" w:rsidRDefault="00F9169D" w:rsidP="007B1B7D">
      <w:pPr>
        <w:pStyle w:val="Ttulo1"/>
        <w:numPr>
          <w:ilvl w:val="0"/>
          <w:numId w:val="2"/>
        </w:numPr>
        <w:jc w:val="both"/>
        <w:rPr>
          <w:rFonts w:ascii="Cascadia Mono" w:hAnsi="Cascadia Mono" w:cs="Cascadia Mono"/>
          <w:color w:val="auto"/>
        </w:rPr>
      </w:pPr>
      <w:r w:rsidRPr="007B1B7D">
        <w:rPr>
          <w:rFonts w:ascii="Cascadia Mono" w:hAnsi="Cascadia Mono" w:cs="Cascadia Mono"/>
          <w:color w:val="auto"/>
        </w:rPr>
        <w:t>Media torre o Mid-tower(ATX)</w:t>
      </w:r>
    </w:p>
    <w:p w:rsidR="00417ADB" w:rsidRPr="007B1B7D" w:rsidRDefault="00417ADB" w:rsidP="007B1B7D">
      <w:pPr>
        <w:jc w:val="both"/>
        <w:rPr>
          <w:rFonts w:ascii="Cascadia Mono" w:hAnsi="Cascadia Mono" w:cs="Cascadia Mono"/>
        </w:rPr>
      </w:pPr>
      <w:r w:rsidRPr="007B1B7D">
        <w:rPr>
          <w:rFonts w:ascii="Cascadia Mono" w:hAnsi="Cascadia Mono" w:cs="Cascadia Mono"/>
          <w:shd w:val="clear" w:color="auto" w:fill="FFFFFF"/>
        </w:rPr>
        <w:t>El formato </w:t>
      </w:r>
      <w:r w:rsidRPr="007B1B7D">
        <w:rPr>
          <w:rFonts w:ascii="Cascadia Mono" w:hAnsi="Cascadia Mono" w:cs="Cascadia Mono"/>
          <w:b/>
          <w:bCs/>
          <w:shd w:val="clear" w:color="auto" w:fill="FFFFFF"/>
        </w:rPr>
        <w:t>ATX</w:t>
      </w:r>
      <w:r w:rsidRPr="007B1B7D">
        <w:rPr>
          <w:rFonts w:ascii="Cascadia Mono" w:hAnsi="Cascadia Mono" w:cs="Cascadia Mono"/>
          <w:shd w:val="clear" w:color="auto" w:fill="FFFFFF"/>
        </w:rPr>
        <w:t> o Mid Tower es uno de los tipos de caja que más se ha empleado para cajas de ordenador. Es la preferida por los usuarios y la más común de encontrar tanto en casa como oficinas. La mayoría de la producción de placas base se centra en este usuario. Cuenta con 7 u 8 ranuras de expansión.</w:t>
      </w:r>
    </w:p>
    <w:p w:rsidR="00F9169D" w:rsidRPr="007B1B7D" w:rsidRDefault="00F9169D" w:rsidP="007B1B7D">
      <w:pPr>
        <w:jc w:val="both"/>
        <w:rPr>
          <w:rFonts w:ascii="Cascadia Mono" w:hAnsi="Cascadia Mono" w:cs="Cascadia Mono"/>
        </w:rPr>
      </w:pPr>
      <w:r w:rsidRPr="007B1B7D">
        <w:rPr>
          <w:rFonts w:ascii="Cascadia Mono" w:hAnsi="Cascadia Mono" w:cs="Cascadia Mono"/>
          <w:noProof/>
          <w:lang w:val="es-MX" w:eastAsia="es-MX"/>
        </w:rPr>
        <w:drawing>
          <wp:inline distT="0" distB="0" distL="0" distR="0" wp14:anchorId="3488DBAA" wp14:editId="015FC6F4">
            <wp:extent cx="3437376" cy="2581275"/>
            <wp:effectExtent l="0" t="0" r="0" b="0"/>
            <wp:docPr id="5" name="Imagen 5" descr="▷ Tipos de torre, chasis o caja para PC: ATX, micro ATX e I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▷ Tipos de torre, chasis o caja para PC: ATX, micro ATX e IT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80" cy="258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9D" w:rsidRPr="007B1B7D" w:rsidRDefault="00F9169D" w:rsidP="007B1B7D">
      <w:pPr>
        <w:pStyle w:val="Ttulo1"/>
        <w:numPr>
          <w:ilvl w:val="0"/>
          <w:numId w:val="2"/>
        </w:numPr>
        <w:jc w:val="both"/>
        <w:rPr>
          <w:rFonts w:ascii="Cascadia Mono" w:hAnsi="Cascadia Mono" w:cs="Cascadia Mono"/>
          <w:color w:val="auto"/>
        </w:rPr>
      </w:pPr>
      <w:r w:rsidRPr="007B1B7D">
        <w:rPr>
          <w:rFonts w:ascii="Cascadia Mono" w:hAnsi="Cascadia Mono" w:cs="Cascadia Mono"/>
          <w:color w:val="auto"/>
        </w:rPr>
        <w:t>Torre completa o full tower(E-ATX)</w:t>
      </w:r>
    </w:p>
    <w:p w:rsidR="00417ADB" w:rsidRPr="007B1B7D" w:rsidRDefault="00417ADB" w:rsidP="007B1B7D">
      <w:pPr>
        <w:jc w:val="both"/>
        <w:rPr>
          <w:rFonts w:ascii="Cascadia Mono" w:hAnsi="Cascadia Mono" w:cs="Cascadia Mono"/>
        </w:rPr>
      </w:pPr>
      <w:r w:rsidRPr="007B1B7D">
        <w:rPr>
          <w:rFonts w:ascii="Cascadia Mono" w:hAnsi="Cascadia Mono" w:cs="Cascadia Mono"/>
          <w:shd w:val="clear" w:color="auto" w:fill="FFFFFF"/>
        </w:rPr>
        <w:t>Esta es la opción de tipo torre para jugadores competitivos y administradores de servidores en todo el mundo, debido a sus muchas características y su capacidad para albergar hasta 10 ranuras de expansión.</w:t>
      </w:r>
    </w:p>
    <w:p w:rsidR="00F9169D" w:rsidRPr="007B1B7D" w:rsidRDefault="00F9169D" w:rsidP="007B1B7D">
      <w:pPr>
        <w:jc w:val="both"/>
        <w:rPr>
          <w:rFonts w:ascii="Cascadia Mono" w:hAnsi="Cascadia Mono" w:cs="Cascadia Mono"/>
        </w:rPr>
      </w:pPr>
      <w:r w:rsidRPr="007B1B7D">
        <w:rPr>
          <w:rFonts w:ascii="Cascadia Mono" w:hAnsi="Cascadia Mono" w:cs="Cascadia Mono"/>
          <w:noProof/>
          <w:lang w:val="es-MX" w:eastAsia="es-MX"/>
        </w:rPr>
        <w:drawing>
          <wp:inline distT="0" distB="0" distL="0" distR="0" wp14:anchorId="526028F9" wp14:editId="4E10CA59">
            <wp:extent cx="2257425" cy="2777058"/>
            <wp:effectExtent l="0" t="0" r="0" b="4445"/>
            <wp:docPr id="6" name="Imagen 6" descr="▷ Tipos de torre, chasis o caja para PC: ATX, micro ATX e I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▷ Tipos de torre, chasis o caja para PC: ATX, micro ATX e IT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39" cy="278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169D" w:rsidRPr="007B1B7D" w:rsidRDefault="00F9169D" w:rsidP="007B1B7D">
      <w:pPr>
        <w:jc w:val="both"/>
        <w:rPr>
          <w:rFonts w:ascii="Cascadia Mono" w:hAnsi="Cascadia Mono" w:cs="Cascadia Mono"/>
        </w:rPr>
      </w:pPr>
    </w:p>
    <w:p w:rsidR="00AE117A" w:rsidRPr="007B1B7D" w:rsidRDefault="00417ADB" w:rsidP="007B1B7D">
      <w:pPr>
        <w:pStyle w:val="Ttulo1"/>
        <w:numPr>
          <w:ilvl w:val="0"/>
          <w:numId w:val="2"/>
        </w:numPr>
        <w:jc w:val="both"/>
        <w:rPr>
          <w:rFonts w:ascii="Cascadia Mono" w:hAnsi="Cascadia Mono" w:cs="Cascadia Mono"/>
          <w:color w:val="auto"/>
        </w:rPr>
      </w:pPr>
      <w:r w:rsidRPr="007B1B7D">
        <w:rPr>
          <w:rFonts w:ascii="Cascadia Mono" w:hAnsi="Cascadia Mono" w:cs="Cascadia Mono"/>
          <w:color w:val="auto"/>
        </w:rPr>
        <w:t>Fuente de poder</w:t>
      </w:r>
    </w:p>
    <w:p w:rsidR="00417ADB" w:rsidRPr="007B1B7D" w:rsidRDefault="00417ADB" w:rsidP="007B1B7D">
      <w:pPr>
        <w:jc w:val="both"/>
        <w:rPr>
          <w:rFonts w:ascii="Cascadia Mono" w:hAnsi="Cascadia Mono" w:cs="Cascadia Mono"/>
          <w:shd w:val="clear" w:color="auto" w:fill="FFFFFF"/>
        </w:rPr>
      </w:pPr>
      <w:r w:rsidRPr="007B1B7D">
        <w:rPr>
          <w:rFonts w:ascii="Cascadia Mono" w:hAnsi="Cascadia Mono" w:cs="Cascadia Mono"/>
          <w:shd w:val="clear" w:color="auto" w:fill="FFFFFF"/>
        </w:rPr>
        <w:t>Las </w:t>
      </w:r>
      <w:r w:rsidRPr="007B1B7D">
        <w:rPr>
          <w:rFonts w:ascii="Cascadia Mono" w:hAnsi="Cascadia Mono" w:cs="Cascadia Mono"/>
          <w:b/>
          <w:bCs/>
          <w:shd w:val="clear" w:color="auto" w:fill="FFFFFF"/>
        </w:rPr>
        <w:t>fuentes de poder</w:t>
      </w:r>
      <w:r w:rsidRPr="007B1B7D">
        <w:rPr>
          <w:rFonts w:ascii="Cascadia Mono" w:hAnsi="Cascadia Mono" w:cs="Cascadia Mono"/>
          <w:shd w:val="clear" w:color="auto" w:fill="FFFFFF"/>
        </w:rPr>
        <w:t> o </w:t>
      </w:r>
      <w:r w:rsidRPr="007B1B7D">
        <w:rPr>
          <w:rFonts w:ascii="Cascadia Mono" w:hAnsi="Cascadia Mono" w:cs="Cascadia Mono"/>
          <w:b/>
          <w:bCs/>
          <w:shd w:val="clear" w:color="auto" w:fill="FFFFFF"/>
        </w:rPr>
        <w:t>fuentes</w:t>
      </w:r>
      <w:r w:rsidRPr="007B1B7D">
        <w:rPr>
          <w:rFonts w:ascii="Cascadia Mono" w:hAnsi="Cascadia Mono" w:cs="Cascadia Mono"/>
          <w:shd w:val="clear" w:color="auto" w:fill="FFFFFF"/>
        </w:rPr>
        <w:t> de alimentación, son equipos cuya principal función es transformar la energía. Existe la creencia </w:t>
      </w:r>
      <w:r w:rsidRPr="007B1B7D">
        <w:rPr>
          <w:rFonts w:ascii="Cascadia Mono" w:hAnsi="Cascadia Mono" w:cs="Cascadia Mono"/>
          <w:b/>
          <w:bCs/>
          <w:shd w:val="clear" w:color="auto" w:fill="FFFFFF"/>
        </w:rPr>
        <w:t>que</w:t>
      </w:r>
      <w:r w:rsidRPr="007B1B7D">
        <w:rPr>
          <w:rFonts w:ascii="Cascadia Mono" w:hAnsi="Cascadia Mono" w:cs="Cascadia Mono"/>
          <w:shd w:val="clear" w:color="auto" w:fill="FFFFFF"/>
        </w:rPr>
        <w:t> las </w:t>
      </w:r>
      <w:r w:rsidRPr="007B1B7D">
        <w:rPr>
          <w:rFonts w:ascii="Cascadia Mono" w:hAnsi="Cascadia Mono" w:cs="Cascadia Mono"/>
          <w:b/>
          <w:bCs/>
          <w:shd w:val="clear" w:color="auto" w:fill="FFFFFF"/>
        </w:rPr>
        <w:t>fuentes de poder</w:t>
      </w:r>
      <w:r w:rsidRPr="007B1B7D">
        <w:rPr>
          <w:rFonts w:ascii="Cascadia Mono" w:hAnsi="Cascadia Mono" w:cs="Cascadia Mono"/>
          <w:shd w:val="clear" w:color="auto" w:fill="FFFFFF"/>
        </w:rPr>
        <w:t> generan energía y esto es falso. Sirven para transformar un tipo de energía en otra necesaria para el correcto funcionamiento de nuestros dispositivos.</w:t>
      </w:r>
    </w:p>
    <w:p w:rsidR="007B1B7D" w:rsidRPr="007B1B7D" w:rsidRDefault="007B1B7D" w:rsidP="007B1B7D">
      <w:pPr>
        <w:jc w:val="both"/>
        <w:rPr>
          <w:rFonts w:ascii="Cascadia Mono" w:hAnsi="Cascadia Mono" w:cs="Cascadia Mono"/>
        </w:rPr>
      </w:pPr>
    </w:p>
    <w:p w:rsidR="00AE117A" w:rsidRPr="007B1B7D" w:rsidRDefault="00417ADB" w:rsidP="007B1B7D">
      <w:pPr>
        <w:pStyle w:val="Ttulo1"/>
        <w:numPr>
          <w:ilvl w:val="0"/>
          <w:numId w:val="2"/>
        </w:numPr>
        <w:jc w:val="both"/>
        <w:rPr>
          <w:rFonts w:ascii="Cascadia Mono" w:hAnsi="Cascadia Mono" w:cs="Cascadia Mono"/>
          <w:color w:val="auto"/>
        </w:rPr>
      </w:pPr>
      <w:r w:rsidRPr="007B1B7D">
        <w:rPr>
          <w:rFonts w:ascii="Cascadia Mono" w:hAnsi="Cascadia Mono" w:cs="Cascadia Mono"/>
          <w:color w:val="auto"/>
        </w:rPr>
        <w:t>Fuente de poder AT</w:t>
      </w:r>
    </w:p>
    <w:p w:rsidR="00417ADB" w:rsidRPr="007B1B7D" w:rsidRDefault="00417ADB" w:rsidP="007B1B7D">
      <w:pPr>
        <w:jc w:val="both"/>
        <w:rPr>
          <w:rFonts w:ascii="Cascadia Mono" w:hAnsi="Cascadia Mono" w:cs="Cascadia Mono"/>
          <w:shd w:val="clear" w:color="auto" w:fill="FFFFFF"/>
        </w:rPr>
      </w:pPr>
      <w:r w:rsidRPr="007B1B7D">
        <w:rPr>
          <w:rFonts w:ascii="Cascadia Mono" w:hAnsi="Cascadia Mono" w:cs="Cascadia Mono"/>
          <w:shd w:val="clear" w:color="auto" w:fill="FFFFFF"/>
        </w:rPr>
        <w:t>La </w:t>
      </w:r>
      <w:r w:rsidRPr="007B1B7D">
        <w:rPr>
          <w:rFonts w:ascii="Cascadia Mono" w:hAnsi="Cascadia Mono" w:cs="Cascadia Mono"/>
          <w:b/>
          <w:bCs/>
          <w:shd w:val="clear" w:color="auto" w:fill="FFFFFF"/>
        </w:rPr>
        <w:t>fuente AT</w:t>
      </w:r>
      <w:r w:rsidRPr="007B1B7D">
        <w:rPr>
          <w:rFonts w:ascii="Cascadia Mono" w:hAnsi="Cascadia Mono" w:cs="Cascadia Mono"/>
          <w:shd w:val="clear" w:color="auto" w:fill="FFFFFF"/>
        </w:rPr>
        <w:t> es un dispositivo que se acopla dentro del gabinete de la computadora y se encarga básicamente de transformar la corriente alterna de la línea eléctrica del tomacorriente de pared en corriente directa; la cuál es utilizada por los elementos electrónicos y eléctricos de la computadora con un menor voltaje.</w:t>
      </w:r>
    </w:p>
    <w:p w:rsidR="00417ADB" w:rsidRPr="007B1B7D" w:rsidRDefault="00417ADB" w:rsidP="007B1B7D">
      <w:pPr>
        <w:jc w:val="both"/>
        <w:rPr>
          <w:rFonts w:ascii="Cascadia Mono" w:hAnsi="Cascadia Mono" w:cs="Cascadia Mono"/>
        </w:rPr>
      </w:pPr>
      <w:r w:rsidRPr="007B1B7D">
        <w:rPr>
          <w:rFonts w:ascii="Cascadia Mono" w:hAnsi="Cascadia Mono" w:cs="Cascadia Mono"/>
          <w:noProof/>
          <w:lang w:val="es-MX" w:eastAsia="es-MX"/>
        </w:rPr>
        <w:drawing>
          <wp:inline distT="0" distB="0" distL="0" distR="0" wp14:anchorId="752FA13B" wp14:editId="3F4939A9">
            <wp:extent cx="3429000" cy="1915222"/>
            <wp:effectExtent l="0" t="0" r="0" b="8890"/>
            <wp:docPr id="8" name="Imagen 8" descr="Fuente AT | Tuto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ente AT | Tuto W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4" cy="19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7D" w:rsidRPr="007B1B7D" w:rsidRDefault="007B1B7D" w:rsidP="007B1B7D">
      <w:pPr>
        <w:jc w:val="both"/>
        <w:rPr>
          <w:rFonts w:ascii="Cascadia Mono" w:hAnsi="Cascadia Mono" w:cs="Cascadia Mono"/>
        </w:rPr>
      </w:pPr>
    </w:p>
    <w:p w:rsidR="007B1B7D" w:rsidRPr="007B1B7D" w:rsidRDefault="007B1B7D" w:rsidP="007B1B7D">
      <w:pPr>
        <w:jc w:val="both"/>
        <w:rPr>
          <w:rFonts w:ascii="Cascadia Mono" w:hAnsi="Cascadia Mono" w:cs="Cascadia Mono"/>
        </w:rPr>
      </w:pPr>
    </w:p>
    <w:p w:rsidR="007B1B7D" w:rsidRPr="007B1B7D" w:rsidRDefault="007B1B7D" w:rsidP="007B1B7D">
      <w:pPr>
        <w:jc w:val="both"/>
        <w:rPr>
          <w:rFonts w:ascii="Cascadia Mono" w:hAnsi="Cascadia Mono" w:cs="Cascadia Mono"/>
        </w:rPr>
      </w:pPr>
    </w:p>
    <w:p w:rsidR="007B1B7D" w:rsidRPr="007B1B7D" w:rsidRDefault="007B1B7D" w:rsidP="007B1B7D">
      <w:pPr>
        <w:pStyle w:val="Prrafodelista"/>
        <w:numPr>
          <w:ilvl w:val="0"/>
          <w:numId w:val="2"/>
        </w:numPr>
        <w:jc w:val="both"/>
        <w:rPr>
          <w:rFonts w:ascii="Cascadia Mono" w:hAnsi="Cascadia Mono" w:cs="Cascadia Mono"/>
        </w:rPr>
      </w:pPr>
      <w:r w:rsidRPr="007B1B7D">
        <w:rPr>
          <w:rFonts w:ascii="Cascadia Mono" w:hAnsi="Cascadia Mono" w:cs="Cascadia Mono"/>
        </w:rPr>
        <w:t>Fuente de poder ATX</w:t>
      </w:r>
    </w:p>
    <w:p w:rsidR="007B1B7D" w:rsidRPr="007B1B7D" w:rsidRDefault="007B1B7D" w:rsidP="007B1B7D">
      <w:pPr>
        <w:pStyle w:val="Prrafodelista"/>
        <w:jc w:val="both"/>
        <w:rPr>
          <w:rFonts w:ascii="Cascadia Mono" w:hAnsi="Cascadia Mono" w:cs="Cascadia Mono"/>
        </w:rPr>
      </w:pPr>
      <w:r w:rsidRPr="007B1B7D">
        <w:rPr>
          <w:rFonts w:ascii="Cascadia Mono" w:hAnsi="Cascadia Mono" w:cs="Cascadia Mono"/>
          <w:shd w:val="clear" w:color="auto" w:fill="FFFFFF"/>
        </w:rPr>
        <w:t>So</w:t>
      </w:r>
      <w:r w:rsidRPr="007B1B7D">
        <w:rPr>
          <w:rFonts w:ascii="Cascadia Mono" w:hAnsi="Cascadia Mono" w:cs="Cascadia Mono"/>
          <w:shd w:val="clear" w:color="auto" w:fill="FFFFFF"/>
        </w:rPr>
        <w:t>n un dispositivo que se instala internamente en la caja del ordenador , y se encarga de transformar la corriente alterna de la línea eléctrica comercial en corriente directa; la cuál es utilizada por los elementos electrónicos y eléctricos del ordenador.</w:t>
      </w:r>
      <w:r w:rsidRPr="007B1B7D">
        <w:rPr>
          <w:rFonts w:ascii="Cascadia Mono" w:hAnsi="Cascadia Mono" w:cs="Cascadia Mono"/>
        </w:rPr>
        <w:t xml:space="preserve"> </w:t>
      </w:r>
    </w:p>
    <w:p w:rsidR="007B1B7D" w:rsidRPr="007B1B7D" w:rsidRDefault="007B1B7D" w:rsidP="007B1B7D">
      <w:pPr>
        <w:pStyle w:val="Prrafodelista"/>
        <w:jc w:val="both"/>
        <w:rPr>
          <w:rFonts w:ascii="Cascadia Mono" w:hAnsi="Cascadia Mono" w:cs="Cascadia Mono"/>
        </w:rPr>
      </w:pPr>
      <w:r w:rsidRPr="007B1B7D">
        <w:rPr>
          <w:rFonts w:ascii="Cascadia Mono" w:hAnsi="Cascadia Mono" w:cs="Cascadia Mono"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7735F184" wp14:editId="6B7F4F15">
            <wp:simplePos x="0" y="0"/>
            <wp:positionH relativeFrom="column">
              <wp:posOffset>339090</wp:posOffset>
            </wp:positionH>
            <wp:positionV relativeFrom="paragraph">
              <wp:posOffset>88900</wp:posOffset>
            </wp:positionV>
            <wp:extent cx="1952625" cy="1952625"/>
            <wp:effectExtent l="0" t="0" r="9525" b="9525"/>
            <wp:wrapSquare wrapText="bothSides"/>
            <wp:docPr id="9" name="Imagen 9" descr="Fuentes de alimentación ATX - ¿Que son estas fuent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entes de alimentación ATX - ¿Que son estas fuentes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B7D" w:rsidRPr="007B1B7D" w:rsidRDefault="007B1B7D" w:rsidP="007B1B7D">
      <w:pPr>
        <w:jc w:val="both"/>
        <w:rPr>
          <w:rFonts w:ascii="Cascadia Mono" w:hAnsi="Cascadia Mono" w:cs="Cascadia Mono"/>
        </w:rPr>
      </w:pPr>
    </w:p>
    <w:p w:rsidR="007B1B7D" w:rsidRPr="007B1B7D" w:rsidRDefault="007B1B7D" w:rsidP="007B1B7D">
      <w:pPr>
        <w:jc w:val="both"/>
        <w:rPr>
          <w:rFonts w:ascii="Cascadia Mono" w:hAnsi="Cascadia Mono" w:cs="Cascadia Mono"/>
        </w:rPr>
      </w:pPr>
    </w:p>
    <w:p w:rsidR="007B1B7D" w:rsidRPr="007B1B7D" w:rsidRDefault="007B1B7D" w:rsidP="007B1B7D">
      <w:pPr>
        <w:jc w:val="both"/>
        <w:rPr>
          <w:rFonts w:ascii="Cascadia Mono" w:hAnsi="Cascadia Mono" w:cs="Cascadia Mono"/>
        </w:rPr>
      </w:pPr>
    </w:p>
    <w:p w:rsidR="007B1B7D" w:rsidRPr="007B1B7D" w:rsidRDefault="007B1B7D" w:rsidP="007B1B7D">
      <w:pPr>
        <w:jc w:val="both"/>
        <w:rPr>
          <w:rFonts w:ascii="Cascadia Mono" w:hAnsi="Cascadia Mono" w:cs="Cascadia Mono"/>
        </w:rPr>
      </w:pPr>
    </w:p>
    <w:p w:rsidR="007B1B7D" w:rsidRPr="007B1B7D" w:rsidRDefault="007B1B7D" w:rsidP="007B1B7D">
      <w:pPr>
        <w:jc w:val="both"/>
        <w:rPr>
          <w:rFonts w:ascii="Cascadia Mono" w:hAnsi="Cascadia Mono" w:cs="Cascadia Mono"/>
        </w:rPr>
      </w:pPr>
    </w:p>
    <w:p w:rsidR="007B1B7D" w:rsidRPr="007B1B7D" w:rsidRDefault="007B1B7D" w:rsidP="007B1B7D">
      <w:pPr>
        <w:jc w:val="both"/>
        <w:rPr>
          <w:rFonts w:ascii="Cascadia Mono" w:hAnsi="Cascadia Mono" w:cs="Cascadia Mono"/>
        </w:rPr>
      </w:pPr>
    </w:p>
    <w:p w:rsidR="007B1B7D" w:rsidRPr="007B1B7D" w:rsidRDefault="007B1B7D" w:rsidP="007B1B7D">
      <w:pPr>
        <w:jc w:val="both"/>
        <w:rPr>
          <w:rFonts w:ascii="Cascadia Mono" w:hAnsi="Cascadia Mono" w:cs="Cascadia Mono"/>
        </w:rPr>
      </w:pPr>
    </w:p>
    <w:p w:rsidR="00AE117A" w:rsidRPr="007B1B7D" w:rsidRDefault="00AE117A" w:rsidP="007B1B7D">
      <w:pPr>
        <w:pStyle w:val="Prrafodelista"/>
        <w:tabs>
          <w:tab w:val="left" w:pos="3210"/>
        </w:tabs>
        <w:jc w:val="both"/>
        <w:rPr>
          <w:rFonts w:ascii="Cascadia Mono" w:hAnsi="Cascadia Mono" w:cs="Cascadia Mono"/>
        </w:rPr>
      </w:pPr>
    </w:p>
    <w:sectPr w:rsidR="00AE117A" w:rsidRPr="007B1B7D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B42" w:rsidRDefault="00092B42" w:rsidP="00AE117A">
      <w:pPr>
        <w:spacing w:after="0" w:line="240" w:lineRule="auto"/>
      </w:pPr>
      <w:r>
        <w:separator/>
      </w:r>
    </w:p>
  </w:endnote>
  <w:endnote w:type="continuationSeparator" w:id="0">
    <w:p w:rsidR="00092B42" w:rsidRDefault="00092B42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scadia Mono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5951"/>
      <w:docPartObj>
        <w:docPartGallery w:val="Page Numbers (Bottom of Page)"/>
        <w:docPartUnique/>
      </w:docPartObj>
    </w:sdtPr>
    <w:sdtEndPr/>
    <w:sdtContent>
      <w:p w:rsidR="00AE117A" w:rsidRDefault="006C4F2F">
        <w:pPr>
          <w:pStyle w:val="Piedepgina"/>
          <w:jc w:val="right"/>
        </w:pPr>
        <w:r>
          <w:rPr>
            <w:noProof/>
            <w:lang w:val="es-MX" w:eastAsia="es-MX"/>
          </w:rPr>
          <w:drawing>
            <wp:anchor distT="0" distB="0" distL="114300" distR="114300" simplePos="0" relativeHeight="251658240" behindDoc="0" locked="0" layoutInCell="1" allowOverlap="1" wp14:anchorId="18066CA5" wp14:editId="4982C777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092B42" w:rsidRPr="00092B42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B42" w:rsidRDefault="00092B42" w:rsidP="00AE117A">
      <w:pPr>
        <w:spacing w:after="0" w:line="240" w:lineRule="auto"/>
      </w:pPr>
      <w:r>
        <w:separator/>
      </w:r>
    </w:p>
  </w:footnote>
  <w:footnote w:type="continuationSeparator" w:id="0">
    <w:p w:rsidR="00092B42" w:rsidRDefault="00092B42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val="es-MX" w:eastAsia="es-MX"/>
      </w:rPr>
      <w:drawing>
        <wp:anchor distT="0" distB="0" distL="114300" distR="114300" simplePos="0" relativeHeight="251659264" behindDoc="0" locked="0" layoutInCell="1" allowOverlap="1" wp14:anchorId="4AD9797A" wp14:editId="14162C98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:rsidR="00AE117A" w:rsidRP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43"/>
    <w:rsid w:val="00092B42"/>
    <w:rsid w:val="0015217D"/>
    <w:rsid w:val="0015488F"/>
    <w:rsid w:val="00252016"/>
    <w:rsid w:val="003B386B"/>
    <w:rsid w:val="00417ADB"/>
    <w:rsid w:val="006358FB"/>
    <w:rsid w:val="006C4F2F"/>
    <w:rsid w:val="007B1B7D"/>
    <w:rsid w:val="008228B9"/>
    <w:rsid w:val="0090504E"/>
    <w:rsid w:val="00AE117A"/>
    <w:rsid w:val="00B00913"/>
    <w:rsid w:val="00B00F82"/>
    <w:rsid w:val="00B211DA"/>
    <w:rsid w:val="00D00743"/>
    <w:rsid w:val="00D05073"/>
    <w:rsid w:val="00D56C5A"/>
    <w:rsid w:val="00EF0D1F"/>
    <w:rsid w:val="00F9169D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360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tribunal supremo</cp:lastModifiedBy>
  <cp:revision>2</cp:revision>
  <dcterms:created xsi:type="dcterms:W3CDTF">2022-04-06T20:23:00Z</dcterms:created>
  <dcterms:modified xsi:type="dcterms:W3CDTF">2022-04-06T20:23:00Z</dcterms:modified>
</cp:coreProperties>
</file>