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AA" w:rsidRDefault="00816F1A">
      <w:pPr>
        <w:rPr>
          <w:sz w:val="48"/>
          <w:lang w:val="es-ES"/>
        </w:rPr>
      </w:pPr>
      <w:r>
        <w:rPr>
          <w:sz w:val="48"/>
          <w:lang w:val="es-ES"/>
        </w:rPr>
        <w:t xml:space="preserve">Comentario crítico </w:t>
      </w:r>
    </w:p>
    <w:p w:rsidR="00816F1A" w:rsidRPr="00816F1A" w:rsidRDefault="00816F1A">
      <w:pPr>
        <w:rPr>
          <w:rFonts w:ascii="Baskerville Old Face" w:hAnsi="Baskerville Old Face"/>
          <w:sz w:val="52"/>
          <w:lang w:val="es-ES"/>
        </w:rPr>
      </w:pPr>
      <w:r w:rsidRPr="00816F1A">
        <w:rPr>
          <w:rFonts w:ascii="Baskerville Old Face" w:hAnsi="Baskerville Old Face" w:cs="Arial"/>
          <w:color w:val="000000"/>
          <w:sz w:val="32"/>
          <w:szCs w:val="21"/>
          <w:shd w:val="clear" w:color="auto" w:fill="FFFFFF"/>
        </w:rPr>
        <w:t>La uniformidad étnica de los indígenas, la asimilación de nuevos valores y creencias, tenía el objetivo de borrar la antigua identidad. Sin embargo, la conquista significó la derrota militar, pero no la erradicación de esta identidad y acervos precolombinos. La dominación colonial debía, por consiguiente, completar la conquista erradicando no sólo idiomas y creencias, en tanto bases cruciales de la identidad precolombina, sino también la anterior territorialidad en que descansaba la soberanía, la otredad de los pueblos indígenas. Los nuevos referentes del poder y la identidad serían la Corona de Castilla, Santiago.</w:t>
      </w:r>
      <w:bookmarkStart w:id="0" w:name="_GoBack"/>
      <w:bookmarkEnd w:id="0"/>
    </w:p>
    <w:sectPr w:rsidR="00816F1A" w:rsidRPr="00816F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1A"/>
    <w:rsid w:val="00816F1A"/>
    <w:rsid w:val="00F4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5EB748-C8D7-4ED0-8B6A-BC416CB3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2023-05-03T13:57:00Z</dcterms:created>
  <dcterms:modified xsi:type="dcterms:W3CDTF">2023-05-03T14:04:00Z</dcterms:modified>
</cp:coreProperties>
</file>