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6F" w:rsidRDefault="00B756C2">
      <w:pPr>
        <w:rPr>
          <w:color w:val="FF0000"/>
          <w:lang w:val="es-ES"/>
        </w:rPr>
      </w:pPr>
      <w:r>
        <w:rPr>
          <w:color w:val="FF0000"/>
          <w:lang w:val="es-ES"/>
        </w:rPr>
        <w:t>El trabajo, lección 15</w:t>
      </w:r>
    </w:p>
    <w:p w:rsidR="00B756C2" w:rsidRPr="00B756C2" w:rsidRDefault="00B756C2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Primero, el trabajo no solo nos ayuda a sobrevivir, sino nos define como personas. EL trabajo nos caracteriza dentro de la sociedad, nos da un puesto específico para ayudar al desarrollo personal y de la comunidad</w:t>
      </w:r>
      <w:bookmarkStart w:id="0" w:name="_GoBack"/>
      <w:bookmarkEnd w:id="0"/>
    </w:p>
    <w:sectPr w:rsidR="00B756C2" w:rsidRPr="00B75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C2"/>
    <w:rsid w:val="003A056F"/>
    <w:rsid w:val="00B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14C13-F779-4BCA-81DB-BF5FDBBF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2023-05-12T02:38:00Z</dcterms:created>
  <dcterms:modified xsi:type="dcterms:W3CDTF">2023-05-12T02:41:00Z</dcterms:modified>
</cp:coreProperties>
</file>