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 Tener un hijo, plantar un árbol y escribir un libro es fácil. Lo difícil es criar un niño, regar el árbol y que alguien lea el libro.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6"/>
          <w:shd w:fill="auto" w:val="clear"/>
        </w:rPr>
        <w:t xml:space="preserve">2</w:t>
      </w: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  El pasado es como una lámpara colocada a la entrada del porvenir. Félicité Robert de Lamennais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 Recuerda que la felicidad no depende en quién eres o qué tienes; depende únicamente en lo que piensas.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6"/>
          <w:shd w:fill="auto" w:val="clear"/>
        </w:rPr>
        <w:t xml:space="preserve">4</w:t>
      </w: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  Lo que doy, me lo doy. Lo que no doy, me lo quito. Nada para mí que no sea para los otros.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6"/>
          <w:shd w:fill="auto" w:val="clear"/>
        </w:rPr>
        <w:t xml:space="preserve">5</w:t>
      </w: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24"/>
          <w:shd w:fill="auto" w:val="clear"/>
        </w:rPr>
        <w:t xml:space="preserve">  Tanta prisa tenemos por hacer, escribir y dejar oír nuestra voz en el silencio de la eternidad, que olvidamos lo único realmente importante: ¡VIVIR! Robert Louis Stevenson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