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MingLiU-ExtB" w:hAnsi="MingLiU-ExtB" w:cs="MingLiU-ExtB" w:eastAsia="MingLiU-ExtB"/>
          <w:b/>
          <w:color w:val="auto"/>
          <w:spacing w:val="0"/>
          <w:position w:val="0"/>
          <w:sz w:val="40"/>
          <w:shd w:fill="auto" w:val="clear"/>
        </w:rPr>
        <w:t xml:space="preserve">resumen sobre el cuadro sinoptico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Un cuadro sinóptico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tambi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én conocido como mapa sinóptico, y diagrama o esquema de llaves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es una forma visual de resumir y organizar ideas en temas, subtemas y conceptos. Esta herramienta sirve para identificar la informaci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ón más importante de un texto, y así, comprenderlo mejor.Un cuadro sinóptico es normalmente implementado como una estrategia para organizar conocimientos de una manera simple y clara. Se basa en una temática en particular y sus diversas relaciones.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Los cuadros sinópticos resultan muy útiles para analizar un tema o una teoría, ya que contrastan y relacionan variables al encontrar semejanzas y diferencias entre ellas.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