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Impact" w:hAnsi="Impact" w:cs="Impact" w:eastAsia="Impact"/>
          <w:color w:val="auto"/>
          <w:spacing w:val="0"/>
          <w:position w:val="0"/>
          <w:sz w:val="40"/>
          <w:shd w:fill="auto" w:val="clear"/>
        </w:rPr>
      </w:pPr>
      <w:r>
        <w:rPr>
          <w:rFonts w:ascii="Impact" w:hAnsi="Impact" w:cs="Impact" w:eastAsia="Impact"/>
          <w:color w:val="F79646"/>
          <w:spacing w:val="0"/>
          <w:position w:val="0"/>
          <w:sz w:val="40"/>
          <w:shd w:fill="auto" w:val="clear"/>
        </w:rPr>
        <w:t xml:space="preserve">literatura medieval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Bahnschrift Light Condensed" w:hAnsi="Bahnschrift Light Condensed" w:cs="Bahnschrift Light Condensed" w:eastAsia="Bahnschrift Light Condensed"/>
          <w:color w:val="auto"/>
          <w:spacing w:val="0"/>
          <w:position w:val="0"/>
          <w:sz w:val="24"/>
          <w:shd w:fill="auto" w:val="clear"/>
        </w:rPr>
      </w:pPr>
      <w:r>
        <w:rPr>
          <w:rFonts w:ascii="Bahnschrift Light Condensed" w:hAnsi="Bahnschrift Light Condensed" w:cs="Bahnschrift Light Condensed" w:eastAsia="Bahnschrift Light Condensed"/>
          <w:color w:val="auto"/>
          <w:spacing w:val="0"/>
          <w:position w:val="0"/>
          <w:sz w:val="24"/>
          <w:shd w:fill="auto" w:val="clear"/>
        </w:rPr>
        <w:t xml:space="preserve">En la literatura medieval, se incluyen todas las obras que ocurrieron en la Edad Media. La Edad Media incluye la caída del Imperio Romano de Occidente hasta el final de lo que está escrito es religioso. Durante este período, hubo mucha producción literaria no solo con el tiempo, sino también en muchos lugares, y es por eso que es difícil generalizar las características del trabajo y, por regla general, el análisis se realiza de acuerdo con el lugar. Donde fueron escritos, se usan el idioma o el género.</w:t>
      </w:r>
    </w:p>
    <w:p>
      <w:pPr>
        <w:spacing w:before="0" w:after="200" w:line="276"/>
        <w:ind w:right="0" w:left="0" w:firstLine="0"/>
        <w:jc w:val="left"/>
        <w:rPr>
          <w:rFonts w:ascii="Bahnschrift Light Condensed" w:hAnsi="Bahnschrift Light Condensed" w:cs="Bahnschrift Light Condensed" w:eastAsia="Bahnschrift Light Condensed"/>
          <w:color w:val="auto"/>
          <w:spacing w:val="0"/>
          <w:position w:val="0"/>
          <w:sz w:val="24"/>
          <w:shd w:fill="auto" w:val="clear"/>
        </w:rPr>
      </w:pPr>
      <w:r>
        <w:rPr>
          <w:rFonts w:ascii="Bahnschrift Light Condensed" w:hAnsi="Bahnschrift Light Condensed" w:cs="Bahnschrift Light Condensed" w:eastAsia="Bahnschrift Light Condensed"/>
          <w:color w:val="auto"/>
          <w:spacing w:val="0"/>
          <w:position w:val="0"/>
          <w:sz w:val="24"/>
          <w:shd w:fill="auto" w:val="clear"/>
        </w:rPr>
        <w:t xml:space="preserve">El momento era muy religioso, la Iglesia Católica era el centro de la intelectualidad en ese momento, algunas personas tenían acceso a la enseñanza y solo unos pocos nobles y religiones saben cómo escribir. Se usan como el comienzo de las acciones litúrgicas o para las propias acciones religiosas. El rito o la liturgia, como lo conocemos hoy, no está completamente establecido, hay muchos misales que afirman contener la fórmula adecuada para liderar acciones religiosas. Este fue un momento en que los grandes eruditos religiosos, como Anselmo de Canterbury, San Tomás Aquinipierre Abélard, escribieron muchos acuerdos sobre teología y filosofía, tratando de conciliar lo que los griegos fueron enseñados por griegos y Pagan romano con la doctrina de Laiglesia Catholic.</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3000" w:dyaOrig="1679">
          <v:rect xmlns:o="urn:schemas-microsoft-com:office:office" xmlns:v="urn:schemas-microsoft-com:vml" id="rectole0000000000" style="width:150.000000pt;height:83.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