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CB" w:rsidRPr="00C14147" w:rsidRDefault="00FC69CB" w:rsidP="00C14147">
      <w:pPr>
        <w:pStyle w:val="Ttulo"/>
        <w:jc w:val="center"/>
        <w:rPr>
          <w:rFonts w:eastAsia="Times New Roman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Procesos metacognitivos y Comprensión lectora: ¿Cuáles influyen y cómo?</w:t>
      </w:r>
    </w:p>
    <w:p w:rsidR="00872BB1" w:rsidRDefault="00872BB1" w:rsidP="00FC69CB">
      <w:pPr>
        <w:shd w:val="clear" w:color="auto" w:fill="FFFFFF"/>
        <w:spacing w:after="300" w:line="240" w:lineRule="auto"/>
        <w:jc w:val="both"/>
        <w:rPr>
          <w:rFonts w:ascii="Lato" w:eastAsia="Times New Roman" w:hAnsi="Lato" w:cs="Times New Roman"/>
          <w:color w:val="AAAAAA"/>
          <w:lang w:eastAsia="es-GT"/>
        </w:rPr>
      </w:pP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000000"/>
          <w:sz w:val="24"/>
          <w:szCs w:val="24"/>
          <w:lang w:eastAsia="es-GT"/>
        </w:rPr>
        <w:t xml:space="preserve">Es muy importante conocer los procesos metacognitivos porque nos pueden ayudar a mejorar los procesos cognitivos (por ejemplo: la lectura y la comprensión lectora). A </w:t>
      </w:r>
      <w:r w:rsidR="00872BB1" w:rsidRPr="00FC69CB">
        <w:rPr>
          <w:rFonts w:eastAsia="Times New Roman" w:cstheme="minorHAnsi"/>
          <w:color w:val="000000"/>
          <w:sz w:val="24"/>
          <w:szCs w:val="24"/>
          <w:lang w:eastAsia="es-GT"/>
        </w:rPr>
        <w:t>continuación,</w:t>
      </w:r>
      <w:r w:rsidRPr="00FC69CB">
        <w:rPr>
          <w:rFonts w:eastAsia="Times New Roman" w:cstheme="minorHAnsi"/>
          <w:color w:val="000000"/>
          <w:sz w:val="24"/>
          <w:szCs w:val="24"/>
          <w:lang w:eastAsia="es-GT"/>
        </w:rPr>
        <w:t xml:space="preserve"> definiremos conceptos como: metacognición, cognición, procesos cognitivos, pro</w:t>
      </w:r>
      <w:r w:rsidR="00872BB1">
        <w:rPr>
          <w:rFonts w:eastAsia="Times New Roman" w:cstheme="minorHAnsi"/>
          <w:color w:val="000000"/>
          <w:sz w:val="24"/>
          <w:szCs w:val="24"/>
          <w:lang w:eastAsia="es-GT"/>
        </w:rPr>
        <w:t xml:space="preserve">cesos metacognitivos, etc. Y </w:t>
      </w:r>
      <w:r w:rsidRPr="00FC69CB">
        <w:rPr>
          <w:rFonts w:eastAsia="Times New Roman" w:cstheme="minorHAnsi"/>
          <w:color w:val="000000"/>
          <w:sz w:val="24"/>
          <w:szCs w:val="24"/>
          <w:lang w:eastAsia="es-GT"/>
        </w:rPr>
        <w:t>presentaremos los distintos procesos metacognitivos que influyen durante la lectura.</w:t>
      </w:r>
    </w:p>
    <w:p w:rsidR="00FC69CB" w:rsidRPr="00C14147" w:rsidRDefault="00FC69CB" w:rsidP="00C14147">
      <w:pPr>
        <w:pStyle w:val="Ttulo1"/>
        <w:rPr>
          <w:rFonts w:eastAsia="Times New Roman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¿Qué es la metacognición?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El término de metacognición fue introducido en la década de los 70 por </w:t>
      </w:r>
      <w:proofErr w:type="spellStart"/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Flavell</w:t>
      </w:r>
      <w:proofErr w:type="spellEnd"/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. Su primera definición del concepto “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metacognición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” incluía los siguientes componentes (</w:t>
      </w:r>
      <w:proofErr w:type="spellStart"/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Flavell</w:t>
      </w:r>
      <w:proofErr w:type="spellEnd"/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, 1976: 232):</w:t>
      </w:r>
    </w:p>
    <w:p w:rsidR="00FC69CB" w:rsidRPr="00FC69CB" w:rsidRDefault="00FC69CB" w:rsidP="00FC69CB">
      <w:pPr>
        <w:numPr>
          <w:ilvl w:val="0"/>
          <w:numId w:val="1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Conocimiento de los procesos cognitivos de uno mismo</w:t>
      </w:r>
    </w:p>
    <w:p w:rsidR="00FC69CB" w:rsidRPr="00FC69CB" w:rsidRDefault="00FC69CB" w:rsidP="00FC69CB">
      <w:pPr>
        <w:numPr>
          <w:ilvl w:val="0"/>
          <w:numId w:val="1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Ser capaz de controlar y regular estos procesos</w:t>
      </w:r>
    </w:p>
    <w:p w:rsidR="00FC69CB" w:rsidRDefault="00FC69CB" w:rsidP="00FC69CB">
      <w:pPr>
        <w:numPr>
          <w:ilvl w:val="0"/>
          <w:numId w:val="1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Ser capaz de desarrollarlos u orientarlos en función a una meta u objetivo concreto</w:t>
      </w:r>
    </w:p>
    <w:p w:rsidR="00872BB1" w:rsidRPr="00FC69CB" w:rsidRDefault="00872BB1" w:rsidP="00872BB1">
      <w:pPr>
        <w:shd w:val="clear" w:color="auto" w:fill="FFFFFF"/>
        <w:spacing w:after="15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Por lo tanto,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metacognición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 hace </w:t>
      </w:r>
      <w:r w:rsidR="00872BB1" w:rsidRPr="00FC69CB">
        <w:rPr>
          <w:rFonts w:eastAsia="Times New Roman" w:cstheme="minorHAnsi"/>
          <w:color w:val="444444"/>
          <w:sz w:val="24"/>
          <w:szCs w:val="24"/>
          <w:lang w:eastAsia="es-GT"/>
        </w:rPr>
        <w:t>referencia,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 por un lado, a la capacidad </w:t>
      </w:r>
      <w:r w:rsidR="00872BB1" w:rsidRPr="00FC69CB">
        <w:rPr>
          <w:rFonts w:eastAsia="Times New Roman" w:cstheme="minorHAnsi"/>
          <w:color w:val="444444"/>
          <w:sz w:val="24"/>
          <w:szCs w:val="24"/>
          <w:lang w:eastAsia="es-GT"/>
        </w:rPr>
        <w:t>de</w:t>
      </w:r>
      <w:r w:rsidR="00872BB1"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 xml:space="preserve"> autorregular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los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procesos de aprendizaje 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y por otro a la capacidad de desarrollar </w:t>
      </w:r>
      <w:r w:rsidR="00872BB1" w:rsidRPr="00FC69CB">
        <w:rPr>
          <w:rFonts w:eastAsia="Times New Roman" w:cstheme="minorHAnsi"/>
          <w:color w:val="444444"/>
          <w:sz w:val="24"/>
          <w:szCs w:val="24"/>
          <w:lang w:eastAsia="es-GT"/>
        </w:rPr>
        <w:t>una</w:t>
      </w:r>
      <w:r w:rsidR="00872BB1"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 xml:space="preserve"> conciencia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 xml:space="preserve"> y un control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sobre los procesos de pensamiento y aprendizaje. En otras palabras, se refiere a la capacidad del sujeto de comprender la forma en la que piensa y aprende. Habiendo comprendido la manera en la que piensa y aprende, la persona podrá aplicar este conocimiento con el fin de obtener mejores resultados.</w:t>
      </w:r>
    </w:p>
    <w:p w:rsidR="00FC69CB" w:rsidRPr="00C14147" w:rsidRDefault="00FC69CB" w:rsidP="00C14147">
      <w:pPr>
        <w:pStyle w:val="Ttulo1"/>
        <w:rPr>
          <w:rFonts w:eastAsia="Times New Roman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Cognición y metacognición: ¿Cuál es la diferencia y qué relación tienen?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Por un lado,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cognición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hace referencia al funcionamiento intelectual de la mente humana e implica tener algunas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habilidades cognitivas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. Los procesos cognitivos están altamente relacionados con los procesos mentales; y podemos destacar:</w:t>
      </w:r>
    </w:p>
    <w:p w:rsidR="00FC69CB" w:rsidRPr="00FC69CB" w:rsidRDefault="00FC69CB" w:rsidP="00FC69CB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Percepción</w:t>
      </w:r>
    </w:p>
    <w:p w:rsidR="00FC69CB" w:rsidRPr="00FC69CB" w:rsidRDefault="00FC69CB" w:rsidP="00FC69CB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Atención</w:t>
      </w:r>
    </w:p>
    <w:p w:rsidR="00FC69CB" w:rsidRPr="00FC69CB" w:rsidRDefault="00FC69CB" w:rsidP="00FC69CB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Memoria</w:t>
      </w:r>
    </w:p>
    <w:p w:rsidR="00FC69CB" w:rsidRDefault="00FC69CB" w:rsidP="00FC69CB">
      <w:pPr>
        <w:numPr>
          <w:ilvl w:val="0"/>
          <w:numId w:val="2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Comprensión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.</w:t>
      </w:r>
    </w:p>
    <w:p w:rsidR="00872BB1" w:rsidRPr="00FC69CB" w:rsidRDefault="00872BB1" w:rsidP="00872BB1">
      <w:pPr>
        <w:shd w:val="clear" w:color="auto" w:fill="FFFFFF"/>
        <w:spacing w:after="15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Por otro lado,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metacognición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se refiere a la conciencia y al control consciente de estas habilidades cognitivas. Podemos destacar:</w:t>
      </w:r>
    </w:p>
    <w:p w:rsidR="00FC69CB" w:rsidRPr="00FC69CB" w:rsidRDefault="00FC69CB" w:rsidP="00FC69CB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proofErr w:type="spellStart"/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lastRenderedPageBreak/>
        <w:t>Metapercepción</w:t>
      </w:r>
      <w:proofErr w:type="spellEnd"/>
    </w:p>
    <w:p w:rsidR="00FC69CB" w:rsidRPr="00FC69CB" w:rsidRDefault="00FC69CB" w:rsidP="00FC69CB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proofErr w:type="spellStart"/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Metaatención</w:t>
      </w:r>
      <w:proofErr w:type="spellEnd"/>
    </w:p>
    <w:p w:rsidR="00FC69CB" w:rsidRPr="00FC69CB" w:rsidRDefault="00FC69CB" w:rsidP="00FC69CB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proofErr w:type="spellStart"/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Metamemoria</w:t>
      </w:r>
      <w:proofErr w:type="spellEnd"/>
    </w:p>
    <w:p w:rsidR="00FC69CB" w:rsidRPr="00872BB1" w:rsidRDefault="00FC69CB" w:rsidP="00FC69CB">
      <w:pPr>
        <w:numPr>
          <w:ilvl w:val="0"/>
          <w:numId w:val="3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Metacomprensión</w:t>
      </w:r>
    </w:p>
    <w:p w:rsidR="00872BB1" w:rsidRPr="00FC69CB" w:rsidRDefault="00872BB1" w:rsidP="00872BB1">
      <w:pPr>
        <w:shd w:val="clear" w:color="auto" w:fill="FFFFFF"/>
        <w:spacing w:after="15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</w:p>
    <w:p w:rsidR="00FC69CB" w:rsidRPr="00C14147" w:rsidRDefault="00FC69CB" w:rsidP="00C14147">
      <w:pPr>
        <w:pStyle w:val="Ttulo1"/>
        <w:rPr>
          <w:rFonts w:eastAsia="Times New Roman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Procesos cognitivos y estrategias metacognitivas: ¿Cómo influyen en nuestro aprendizaje?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Uno de los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procesos cognitivos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que llevamos a cabo durante toda nuestra vida es el proceso de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aprendizaje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. Para ello, las personas usamos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estrategias metacognitivas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. Con estas estrategias somos capaces de generalizar nuestros conocimientos específicos aprendidos en un contexto y extrapolarlos </w:t>
      </w:r>
      <w:r w:rsidR="00C14147" w:rsidRPr="00FC69CB">
        <w:rPr>
          <w:rFonts w:eastAsia="Times New Roman" w:cstheme="minorHAnsi"/>
          <w:color w:val="444444"/>
          <w:sz w:val="24"/>
          <w:szCs w:val="24"/>
          <w:lang w:eastAsia="es-GT"/>
        </w:rPr>
        <w:t>a otros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 campos distintos del aprendido. Estas estrategias nos ayudan también a discernir entre lo que conocemos y lo que no conocemos. </w:t>
      </w:r>
      <w:r w:rsidR="00C14147" w:rsidRPr="00FC69CB">
        <w:rPr>
          <w:rFonts w:eastAsia="Times New Roman" w:cstheme="minorHAnsi"/>
          <w:color w:val="444444"/>
          <w:sz w:val="24"/>
          <w:szCs w:val="24"/>
          <w:lang w:eastAsia="es-GT"/>
        </w:rPr>
        <w:t>Además,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 también nos ayudan a controlar los procedimientos de obtención y comprensión de la nueva información. También dan conciencia sobre la tarea que se va a realizar.</w:t>
      </w:r>
    </w:p>
    <w:p w:rsidR="00FC69CB" w:rsidRPr="00C14147" w:rsidRDefault="00FC69CB" w:rsidP="00C14147">
      <w:pPr>
        <w:pStyle w:val="Ttulo1"/>
        <w:rPr>
          <w:rFonts w:eastAsia="Times New Roman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Procesos metacognitivos: ¿Cómo influyen en la lectura y la comprensión lectora?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Otro de los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procesos cognitivos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más complicados que llevamos a cabo es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lectura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. Aprender a leer es un trabajo difícil y a la vez muy básico. El objetivo de la lectura es </w:t>
      </w:r>
      <w:r w:rsidR="00C14147"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</w:t>
      </w:r>
      <w:r w:rsidR="00C14147"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 xml:space="preserve"> comprensión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 xml:space="preserve"> lectora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, es decir, entender el texto leído.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En la lectura utilizamos uno de los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procesos metacognitivos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más importantes, la</w:t>
      </w:r>
      <w:r w:rsidR="00C14147">
        <w:rPr>
          <w:rFonts w:eastAsia="Times New Roman" w:cstheme="minorHAnsi"/>
          <w:color w:val="444444"/>
          <w:sz w:val="24"/>
          <w:szCs w:val="24"/>
          <w:lang w:eastAsia="es-GT"/>
        </w:rPr>
        <w:t xml:space="preserve"> 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metacomprensión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. La metacomprensión se define como:</w:t>
      </w:r>
    </w:p>
    <w:p w:rsidR="00FC69CB" w:rsidRDefault="00FC69CB" w:rsidP="00FC69CB">
      <w:pPr>
        <w:numPr>
          <w:ilvl w:val="0"/>
          <w:numId w:val="4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 conciencia del propio nivel de comprensión durante la lectura. Es decir, ser consciente de que a medida que vas leyendo el texto, lo vas entendiendo.</w:t>
      </w:r>
    </w:p>
    <w:p w:rsidR="00C14147" w:rsidRPr="00FC69CB" w:rsidRDefault="00C14147" w:rsidP="00C14147">
      <w:pPr>
        <w:shd w:val="clear" w:color="auto" w:fill="FFFFFF"/>
        <w:spacing w:after="15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</w:p>
    <w:p w:rsidR="00FC69CB" w:rsidRDefault="00FC69CB" w:rsidP="00FC69CB">
      <w:pPr>
        <w:numPr>
          <w:ilvl w:val="0"/>
          <w:numId w:val="4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 competencia para dominar los actos cognitivos durante la lectura a través de estrategias que faciliten la comprensión de textos (por ejemplo: memorizar, extraer la idea principal …). Es decir, ser capaz de utilizar estrategias o recursos cognitivos con el objetivo de llegar a entender todo el texto leído.</w:t>
      </w:r>
    </w:p>
    <w:p w:rsidR="00C14147" w:rsidRDefault="00C14147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Por lo tanto,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comprensión lectora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equivaldría a “entender el contenido de un texto” y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metacomprensión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a “entender que lo he entendido”.</w:t>
      </w:r>
    </w:p>
    <w:p w:rsidR="00C14147" w:rsidRDefault="00C14147" w:rsidP="00FC69CB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3366FF"/>
          <w:sz w:val="24"/>
          <w:szCs w:val="24"/>
          <w:lang w:eastAsia="es-GT"/>
        </w:rPr>
      </w:pPr>
    </w:p>
    <w:p w:rsidR="00C14147" w:rsidRDefault="00C14147" w:rsidP="00FC69CB">
      <w:pPr>
        <w:shd w:val="clear" w:color="auto" w:fill="FFFFFF"/>
        <w:spacing w:after="300" w:line="240" w:lineRule="auto"/>
        <w:jc w:val="center"/>
        <w:rPr>
          <w:rFonts w:eastAsia="Times New Roman" w:cstheme="minorHAnsi"/>
          <w:color w:val="3366FF"/>
          <w:sz w:val="24"/>
          <w:szCs w:val="24"/>
          <w:lang w:eastAsia="es-GT"/>
        </w:rPr>
      </w:pPr>
    </w:p>
    <w:p w:rsidR="00FC69CB" w:rsidRPr="00C14147" w:rsidRDefault="00FC69CB" w:rsidP="00C14147">
      <w:pPr>
        <w:pStyle w:val="Ttulo1"/>
        <w:rPr>
          <w:rFonts w:eastAsia="Times New Roman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Metacognición: ¿Qué otros procesos metacognitivos podemos destacar en relación a la lectura?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En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metacognición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podemos determinar tres procesos:</w:t>
      </w:r>
    </w:p>
    <w:p w:rsidR="00FC69CB" w:rsidRPr="00FC69CB" w:rsidRDefault="00FC69CB" w:rsidP="00FC69CB">
      <w:pPr>
        <w:numPr>
          <w:ilvl w:val="0"/>
          <w:numId w:val="5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planificación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o desarrollo de un plan de acción.</w:t>
      </w:r>
    </w:p>
    <w:p w:rsidR="00FC69CB" w:rsidRPr="00FC69CB" w:rsidRDefault="00FC69CB" w:rsidP="00FC69CB">
      <w:pPr>
        <w:numPr>
          <w:ilvl w:val="0"/>
          <w:numId w:val="5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supervisión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del plan de acción.</w:t>
      </w:r>
    </w:p>
    <w:p w:rsidR="00FC69CB" w:rsidRPr="00FC69CB" w:rsidRDefault="00FC69CB" w:rsidP="00FC69CB">
      <w:pPr>
        <w:numPr>
          <w:ilvl w:val="0"/>
          <w:numId w:val="5"/>
        </w:numPr>
        <w:shd w:val="clear" w:color="auto" w:fill="FFFFFF"/>
        <w:spacing w:after="15" w:line="240" w:lineRule="auto"/>
        <w:ind w:left="0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evaluación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 del plan de acción.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Para reconocer a un buen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lector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, éste tiene que tener unas buenas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habilidades cognitivas y metacognitivas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. Por un lado, cognitivas, porque son las que te permiten procesar la información del texto que </w:t>
      </w:r>
      <w:r w:rsidR="00C14147" w:rsidRPr="00FC69CB">
        <w:rPr>
          <w:rFonts w:eastAsia="Times New Roman" w:cstheme="minorHAnsi"/>
          <w:color w:val="444444"/>
          <w:sz w:val="24"/>
          <w:szCs w:val="24"/>
          <w:lang w:eastAsia="es-GT"/>
        </w:rPr>
        <w:t>estás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 leyendo. </w:t>
      </w:r>
      <w:r w:rsidR="00C14147" w:rsidRPr="00FC69CB">
        <w:rPr>
          <w:rFonts w:eastAsia="Times New Roman" w:cstheme="minorHAnsi"/>
          <w:color w:val="444444"/>
          <w:sz w:val="24"/>
          <w:szCs w:val="24"/>
          <w:lang w:eastAsia="es-GT"/>
        </w:rPr>
        <w:t>Y,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 xml:space="preserve"> por otro lado, metacognitivas, porque te permiten tener conciencia de todo el proceso de comprensión (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metacomprensión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) y controlarlo a través de la </w:t>
      </w:r>
      <w:r w:rsidRPr="00FC69CB">
        <w:rPr>
          <w:rFonts w:eastAsia="Times New Roman" w:cstheme="minorHAnsi"/>
          <w:b/>
          <w:bCs/>
          <w:color w:val="444444"/>
          <w:sz w:val="24"/>
          <w:szCs w:val="24"/>
          <w:lang w:eastAsia="es-GT"/>
        </w:rPr>
        <w:t>planificación, supervisión y evaluación</w:t>
      </w: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.</w:t>
      </w:r>
    </w:p>
    <w:p w:rsidR="00FC69CB" w:rsidRPr="00FC69CB" w:rsidRDefault="00FC69CB" w:rsidP="00FC69CB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Las estrategias de comprensión son realizadas por el lector: antes, durante y después de la lectura. De esta manera elaboran y meditan sobre el significado del texto constantemente.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Una de las principales causas de las dificultades de comprensión lectora es el escaso control y dirección del proceso lector que realizan los lectores, es decir, la carencia de la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aplicación de Estrategias Metacognitivas</w:t>
      </w:r>
      <w:r w:rsidRPr="00872BB1">
        <w:rPr>
          <w:rFonts w:asciiTheme="minorHAnsi" w:hAnsiTheme="minorHAnsi" w:cstheme="minorHAnsi"/>
          <w:color w:val="333333"/>
        </w:rPr>
        <w:t>, antes, durante y después de la lectura.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Entre las estrategias metacognitivas que se conciben como fundamentales para la Comprensión lectora están las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estrategias de guiado</w:t>
      </w:r>
      <w:r w:rsidRPr="00872BB1">
        <w:rPr>
          <w:rFonts w:asciiTheme="minorHAnsi" w:hAnsiTheme="minorHAnsi" w:cstheme="minorHAnsi"/>
          <w:color w:val="333333"/>
        </w:rPr>
        <w:t>, las de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comprobación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y las de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autoevaluación</w:t>
      </w:r>
      <w:r w:rsidRPr="00872BB1">
        <w:rPr>
          <w:rFonts w:asciiTheme="minorHAnsi" w:hAnsiTheme="minorHAnsi" w:cstheme="minorHAnsi"/>
          <w:color w:val="333333"/>
        </w:rPr>
        <w:t>.</w:t>
      </w:r>
    </w:p>
    <w:p w:rsidR="00FC69CB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Para resumir, proponemos el uso de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tres reglas básicas o macrorreglas para extraer o resumir el significado global de un texto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 xml:space="preserve">o macroestructura, propuestas por </w:t>
      </w:r>
      <w:proofErr w:type="spellStart"/>
      <w:r w:rsidRPr="00872BB1">
        <w:rPr>
          <w:rFonts w:asciiTheme="minorHAnsi" w:hAnsiTheme="minorHAnsi" w:cstheme="minorHAnsi"/>
          <w:color w:val="333333"/>
        </w:rPr>
        <w:t>Kintsch</w:t>
      </w:r>
      <w:proofErr w:type="spellEnd"/>
      <w:r w:rsidRPr="00872BB1">
        <w:rPr>
          <w:rFonts w:asciiTheme="minorHAnsi" w:hAnsiTheme="minorHAnsi" w:cstheme="minorHAnsi"/>
          <w:color w:val="333333"/>
        </w:rPr>
        <w:t xml:space="preserve"> y Van </w:t>
      </w:r>
      <w:proofErr w:type="spellStart"/>
      <w:r w:rsidRPr="00872BB1">
        <w:rPr>
          <w:rFonts w:asciiTheme="minorHAnsi" w:hAnsiTheme="minorHAnsi" w:cstheme="minorHAnsi"/>
          <w:color w:val="333333"/>
        </w:rPr>
        <w:t>Dijk</w:t>
      </w:r>
      <w:proofErr w:type="spellEnd"/>
      <w:r w:rsidRPr="00872BB1">
        <w:rPr>
          <w:rFonts w:asciiTheme="minorHAnsi" w:hAnsiTheme="minorHAnsi" w:cstheme="minorHAnsi"/>
          <w:color w:val="333333"/>
        </w:rPr>
        <w:t>, 1978).</w:t>
      </w:r>
    </w:p>
    <w:p w:rsidR="00C14147" w:rsidRPr="00872BB1" w:rsidRDefault="00C14147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</w:p>
    <w:p w:rsidR="00FC69CB" w:rsidRPr="00C14147" w:rsidRDefault="00FC69CB" w:rsidP="00C14147">
      <w:pPr>
        <w:pStyle w:val="Ttulo2"/>
        <w:rPr>
          <w:color w:val="C00000"/>
        </w:rPr>
      </w:pPr>
      <w:r w:rsidRPr="00C14147">
        <w:rPr>
          <w:rStyle w:val="Textoennegrita"/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1º Omisión o supresión de la información irrelevante o secundaria.</w:t>
      </w:r>
    </w:p>
    <w:p w:rsidR="00FC69CB" w:rsidRPr="00C14147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Ejemplo: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“El martes por la tarde, cuando aún no había llegado mi madre, nos fuimos a jugar al parque que hay al lado de casa. Primero llegó Carlos, luego Sara y más tarde llegaron todos los demás. Cuando estábamos todo el grupo, hicimos equipos y empezamos a jugar un partido de futbol, pero antes de haber marcado el primer gol, comenzó a llover con mucha fuerza y tuvimos que refugiarnos debajo del Palomar del Parque. Como no paraba de llover decidimos irnos a casa, cada uno salió corriendo hacia su casa. Todos llegamos a nuestras casas chorreando, por eso hoy no ha venido casi nadie a clase porque casi todos están resfriados.”</w:t>
      </w:r>
    </w:p>
    <w:p w:rsidR="00C14147" w:rsidRPr="00C14147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Style w:val="Textoennegrita"/>
          <w:rFonts w:asciiTheme="minorHAnsi" w:hAnsiTheme="minorHAnsi" w:cstheme="minorHAnsi"/>
          <w:bCs w:val="0"/>
          <w:color w:val="999999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Se puede transformar en: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br/>
        <w:t>” Los niños fueron a jugar al parque, empezó a llover y todos se fueron a casa. Al día siguiente no fueron a clase porque estaban resfriados.”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 </w:t>
      </w:r>
    </w:p>
    <w:p w:rsidR="00FC69CB" w:rsidRPr="00C14147" w:rsidRDefault="00FC69CB" w:rsidP="00C14147">
      <w:pPr>
        <w:pStyle w:val="Ttulo2"/>
        <w:rPr>
          <w:color w:val="C00000"/>
        </w:rPr>
      </w:pPr>
      <w:r w:rsidRPr="00C14147">
        <w:rPr>
          <w:rStyle w:val="Textoennegrita"/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2º Selección de los conceptos claves o información principal.</w:t>
      </w:r>
    </w:p>
    <w:p w:rsidR="00FC69CB" w:rsidRPr="00C14147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Ejemplo: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“Las abejas son insectos sociales porque viven en colonias o grupos. En cada colmena viven las abejas obreras, los zánganos y la abeja reina. Las abejas obreras son las que se encargan de buscar y llevar el polen a la colmena para fabricar la miel. Para ello, las abejas tienen un sistema de comunicación basado en los movimientos, por lo que una abeja que encuentra miel, vuelve a la colmena y mediante una danza les indica a las otras abejas obreras dónde está la miel y cuánta hay. Para convencerlas de que vayan les trae un poquito polen del que ha encontrado, pues si prueban el manjar todas se animan a buscarlo.”</w:t>
      </w:r>
    </w:p>
    <w:p w:rsidR="00C14147" w:rsidRPr="00C14147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Style w:val="Textoennegrita"/>
          <w:rFonts w:asciiTheme="minorHAnsi" w:hAnsiTheme="minorHAnsi" w:cstheme="minorHAnsi"/>
          <w:bCs w:val="0"/>
          <w:color w:val="999999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Se transformaría en: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br/>
        <w:t>“Las abejas viven en grupos de abejas obreras, zánganos y la abeja reina. Las abejas obreras buscan el polen y hacen la miel. Cuando encuentran polen avisan a sus compañeras mediante movimientos.”</w:t>
      </w:r>
    </w:p>
    <w:p w:rsidR="00FC69CB" w:rsidRPr="00C14147" w:rsidRDefault="00FC69CB" w:rsidP="00C14147">
      <w:pPr>
        <w:pStyle w:val="Ttulo2"/>
        <w:rPr>
          <w:color w:val="C00000"/>
        </w:rPr>
      </w:pPr>
      <w:r w:rsidRPr="00C14147">
        <w:rPr>
          <w:color w:val="C00000"/>
        </w:rPr>
        <w:t> </w:t>
      </w:r>
      <w:r w:rsidRPr="00C14147">
        <w:rPr>
          <w:rStyle w:val="Textoennegrita"/>
          <w:rFonts w:asciiTheme="minorHAnsi" w:hAnsiTheme="minorHAnsi" w:cstheme="minorHAnsi"/>
          <w:b w:val="0"/>
          <w:bCs w:val="0"/>
          <w:color w:val="C00000"/>
          <w:sz w:val="24"/>
          <w:szCs w:val="24"/>
        </w:rPr>
        <w:t>3º Generalización de la información o resumen, que consiste en incluir la información de varias frases en una sola.</w:t>
      </w:r>
    </w:p>
    <w:p w:rsidR="00FC69CB" w:rsidRPr="00C14147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Ejemplo: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 xml:space="preserve">“Cuando me invitaste a tu casa, tu madre me ofreció un gran manjar. Comimos gambas a la plancha, almejas en salsa, calamares fritos y truchas con jamón. </w:t>
      </w:r>
      <w:r w:rsidR="00C14147" w:rsidRPr="00872BB1">
        <w:rPr>
          <w:rFonts w:asciiTheme="minorHAnsi" w:hAnsiTheme="minorHAnsi" w:cstheme="minorHAnsi"/>
          <w:color w:val="333333"/>
        </w:rPr>
        <w:t>Además,</w:t>
      </w:r>
      <w:r w:rsidRPr="00872BB1">
        <w:rPr>
          <w:rFonts w:asciiTheme="minorHAnsi" w:hAnsiTheme="minorHAnsi" w:cstheme="minorHAnsi"/>
          <w:color w:val="333333"/>
        </w:rPr>
        <w:t xml:space="preserve"> abrió una de las mejores botellas de vino que tenía en casa. No olvidaré nunca ese recibimiento porque nunca me habían tratado mejor.”</w:t>
      </w:r>
    </w:p>
    <w:p w:rsidR="00C14147" w:rsidRPr="00C14147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Style w:val="Textoennegrita"/>
          <w:rFonts w:asciiTheme="minorHAnsi" w:hAnsiTheme="minorHAnsi" w:cstheme="minorHAnsi"/>
          <w:bCs w:val="0"/>
          <w:color w:val="999999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Se transformaría en: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br/>
        <w:t>“Cuando fui a tu casa comí marisco y pescado, bebí vino y fui tratado muy bien.”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872BB1">
        <w:rPr>
          <w:rFonts w:asciiTheme="minorHAnsi" w:hAnsiTheme="minorHAnsi" w:cstheme="minorHAnsi"/>
          <w:color w:val="333333"/>
        </w:rPr>
        <w:t> </w:t>
      </w:r>
    </w:p>
    <w:p w:rsidR="00C14147" w:rsidRPr="00C14147" w:rsidRDefault="00C14147" w:rsidP="00C14147">
      <w:pPr>
        <w:pStyle w:val="Ttulo1"/>
        <w:rPr>
          <w:rStyle w:val="Textoennegrita"/>
          <w:rFonts w:asciiTheme="minorHAnsi" w:hAnsiTheme="minorHAnsi" w:cstheme="minorHAnsi"/>
          <w:bCs w:val="0"/>
          <w:color w:val="C00000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C00000"/>
        </w:rPr>
        <w:t>Otras estrategias útiles</w:t>
      </w:r>
    </w:p>
    <w:p w:rsidR="00FC69CB" w:rsidRPr="00872BB1" w:rsidRDefault="00FC69CB" w:rsidP="00FC69CB">
      <w:pPr>
        <w:pStyle w:val="NormalWeb"/>
        <w:spacing w:before="0" w:beforeAutospacing="0" w:after="225" w:afterAutospacing="0" w:line="390" w:lineRule="atLeast"/>
        <w:jc w:val="both"/>
        <w:rPr>
          <w:rFonts w:asciiTheme="minorHAnsi" w:hAnsiTheme="minorHAnsi" w:cstheme="minorHAnsi"/>
          <w:color w:val="333333"/>
        </w:rPr>
      </w:pPr>
      <w:r w:rsidRPr="00C14147">
        <w:rPr>
          <w:rStyle w:val="Textoennegrita"/>
          <w:rFonts w:asciiTheme="minorHAnsi" w:hAnsiTheme="minorHAnsi" w:cstheme="minorHAnsi"/>
          <w:bCs w:val="0"/>
          <w:color w:val="999999"/>
        </w:rPr>
        <w:t>Por ejemplo: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volver hacia atrás y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releer un párrafo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cuando nos damos cuenta de que no hemos comprendido el significado global de este,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descubrir inconsistencias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 xml:space="preserve">o lagunas en los </w:t>
      </w:r>
      <w:r w:rsidR="00C14147" w:rsidRPr="00872BB1">
        <w:rPr>
          <w:rFonts w:asciiTheme="minorHAnsi" w:hAnsiTheme="minorHAnsi" w:cstheme="minorHAnsi"/>
          <w:color w:val="333333"/>
        </w:rPr>
        <w:t>textos,</w:t>
      </w:r>
      <w:r w:rsidR="00C14147"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 disminuir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 xml:space="preserve"> la velocidad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ante un pasaje difícil, intentar descubrir el significado de una palabra determinada ayudándonos del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contexto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antes de buscar por medios externos el significado, localizar las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ideas principales</w:t>
      </w:r>
      <w:r w:rsidRPr="00872BB1">
        <w:rPr>
          <w:rFonts w:asciiTheme="minorHAnsi" w:hAnsiTheme="minorHAnsi" w:cstheme="minorHAnsi"/>
          <w:color w:val="333333"/>
        </w:rPr>
        <w:t>, hacer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inferencias</w:t>
      </w:r>
      <w:r w:rsidRPr="00872BB1">
        <w:rPr>
          <w:rFonts w:asciiTheme="minorHAnsi" w:hAnsiTheme="minorHAnsi" w:cstheme="minorHAnsi"/>
          <w:color w:val="333333"/>
        </w:rPr>
        <w:t>, contestar y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hacerse preguntas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mientras se va leyendo,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resumir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la información o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Style w:val="Textoennegrita"/>
          <w:rFonts w:asciiTheme="minorHAnsi" w:hAnsiTheme="minorHAnsi" w:cstheme="minorHAnsi"/>
          <w:b w:val="0"/>
          <w:bCs w:val="0"/>
          <w:color w:val="333333"/>
        </w:rPr>
        <w:t>parafrasear</w:t>
      </w:r>
      <w:r w:rsidRPr="00872BB1">
        <w:rPr>
          <w:rStyle w:val="apple-converted-space"/>
          <w:rFonts w:asciiTheme="minorHAnsi" w:hAnsiTheme="minorHAnsi" w:cstheme="minorHAnsi"/>
          <w:color w:val="333333"/>
        </w:rPr>
        <w:t> </w:t>
      </w:r>
      <w:r w:rsidRPr="00872BB1">
        <w:rPr>
          <w:rFonts w:asciiTheme="minorHAnsi" w:hAnsiTheme="minorHAnsi" w:cstheme="minorHAnsi"/>
          <w:color w:val="333333"/>
        </w:rPr>
        <w:t>un texto.</w:t>
      </w:r>
    </w:p>
    <w:p w:rsidR="00C14147" w:rsidRDefault="00C14147" w:rsidP="00C1414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En conclusión, conociendo los propios procesos de metacognición podemos conocernos mejor a nosotros mismos. Con ello, seremos conscientes de qué técnicas o estrategias son más útiles para nosotros y cuáles no. Por lo tanto, aplicándolas y utilizándolas, nuestros procesos de aprendizaje, de lec</w:t>
      </w:r>
      <w:bookmarkStart w:id="0" w:name="_GoBack"/>
      <w:bookmarkEnd w:id="0"/>
      <w:r w:rsidRPr="00FC69CB">
        <w:rPr>
          <w:rFonts w:eastAsia="Times New Roman" w:cstheme="minorHAnsi"/>
          <w:color w:val="444444"/>
          <w:sz w:val="24"/>
          <w:szCs w:val="24"/>
          <w:lang w:eastAsia="es-GT"/>
        </w:rPr>
        <w:t>tura u otros procesos cognitivos podrán verse altamente mejorados.</w:t>
      </w:r>
    </w:p>
    <w:p w:rsidR="00C14147" w:rsidRDefault="00C14147" w:rsidP="00C14147">
      <w:pPr>
        <w:shd w:val="clear" w:color="auto" w:fill="FFFFFF"/>
        <w:spacing w:after="300" w:line="240" w:lineRule="auto"/>
        <w:jc w:val="both"/>
        <w:rPr>
          <w:rFonts w:eastAsia="Times New Roman" w:cstheme="minorHAnsi"/>
          <w:color w:val="444444"/>
          <w:sz w:val="24"/>
          <w:szCs w:val="24"/>
          <w:lang w:eastAsia="es-GT"/>
        </w:rPr>
      </w:pPr>
    </w:p>
    <w:p w:rsidR="00FC69CB" w:rsidRPr="00872BB1" w:rsidRDefault="00FC69CB">
      <w:pPr>
        <w:rPr>
          <w:rFonts w:cstheme="minorHAnsi"/>
          <w:sz w:val="24"/>
          <w:szCs w:val="24"/>
        </w:rPr>
      </w:pPr>
    </w:p>
    <w:p w:rsidR="00FC69CB" w:rsidRPr="00872BB1" w:rsidRDefault="00FC69CB">
      <w:pPr>
        <w:rPr>
          <w:rFonts w:cstheme="minorHAnsi"/>
          <w:sz w:val="24"/>
          <w:szCs w:val="24"/>
        </w:rPr>
      </w:pPr>
      <w:r w:rsidRPr="00872BB1">
        <w:rPr>
          <w:rFonts w:cstheme="minorHAnsi"/>
          <w:noProof/>
          <w:sz w:val="24"/>
          <w:szCs w:val="24"/>
          <w:lang w:eastAsia="es-GT"/>
        </w:rPr>
        <w:drawing>
          <wp:inline distT="0" distB="0" distL="0" distR="0">
            <wp:extent cx="5612130" cy="4213496"/>
            <wp:effectExtent l="0" t="0" r="7620" b="0"/>
            <wp:docPr id="1" name="Imagen 1" descr="http://image.slidesharecdn.com/estrategiasmetacognitivasdelectura-131009173037-phpapp01/95/estrategias-metacognitivas-de-lectura-14-638.jpg?cb=138135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estrategiasmetacognitivasdelectura-131009173037-phpapp01/95/estrategias-metacognitivas-de-lectura-14-638.jpg?cb=13813566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CB" w:rsidRPr="00872BB1" w:rsidRDefault="00FC69CB">
      <w:pPr>
        <w:rPr>
          <w:rFonts w:cstheme="minorHAnsi"/>
          <w:sz w:val="24"/>
          <w:szCs w:val="24"/>
        </w:rPr>
      </w:pPr>
      <w:r w:rsidRPr="00C14147">
        <w:rPr>
          <w:rFonts w:cstheme="minorHAnsi"/>
          <w:sz w:val="24"/>
          <w:szCs w:val="24"/>
        </w:rPr>
        <w:t>http://image.slidesharecdn.com/estrategiasmetacognitivasdelectura-131009173037-phpapp01/95/estrategias-metacognitivas-de-lectura-14-638.jpg?cb=1381356651</w:t>
      </w:r>
    </w:p>
    <w:p w:rsidR="00C14147" w:rsidRDefault="00C14147" w:rsidP="00C14147">
      <w:pPr>
        <w:pStyle w:val="Ttulo1"/>
        <w:rPr>
          <w:rFonts w:eastAsia="Times New Roman"/>
          <w:b/>
          <w:color w:val="C00000"/>
          <w:lang w:eastAsia="es-GT"/>
        </w:rPr>
      </w:pPr>
    </w:p>
    <w:p w:rsidR="00C14147" w:rsidRPr="00C14147" w:rsidRDefault="00C14147" w:rsidP="00C14147">
      <w:pPr>
        <w:pStyle w:val="Ttulo1"/>
        <w:rPr>
          <w:rFonts w:asciiTheme="minorHAnsi" w:eastAsia="Times New Roman" w:hAnsiTheme="minorHAnsi"/>
          <w:b/>
          <w:color w:val="C00000"/>
          <w:lang w:eastAsia="es-GT"/>
        </w:rPr>
      </w:pPr>
      <w:r w:rsidRPr="00C14147">
        <w:rPr>
          <w:rFonts w:eastAsia="Times New Roman"/>
          <w:b/>
          <w:color w:val="C00000"/>
          <w:lang w:eastAsia="es-GT"/>
        </w:rPr>
        <w:t>Referencias</w:t>
      </w:r>
    </w:p>
    <w:p w:rsidR="00C14147" w:rsidRPr="00872BB1" w:rsidRDefault="00C14147" w:rsidP="00C14147">
      <w:pPr>
        <w:rPr>
          <w:rFonts w:cstheme="minorHAnsi"/>
          <w:sz w:val="24"/>
          <w:szCs w:val="24"/>
        </w:rPr>
      </w:pPr>
      <w:r w:rsidRPr="00C14147">
        <w:rPr>
          <w:rFonts w:cstheme="minorHAnsi"/>
          <w:sz w:val="24"/>
          <w:szCs w:val="24"/>
        </w:rPr>
        <w:t>http://blog.mentelex.com/procesos-metacognitivos/</w:t>
      </w:r>
    </w:p>
    <w:p w:rsidR="00C14147" w:rsidRPr="00872BB1" w:rsidRDefault="00C14147" w:rsidP="00C14147">
      <w:pPr>
        <w:rPr>
          <w:rFonts w:cstheme="minorHAnsi"/>
          <w:sz w:val="24"/>
          <w:szCs w:val="24"/>
        </w:rPr>
      </w:pPr>
      <w:r w:rsidRPr="00C14147">
        <w:rPr>
          <w:rFonts w:cstheme="minorHAnsi"/>
          <w:sz w:val="24"/>
          <w:szCs w:val="24"/>
        </w:rPr>
        <w:t>http://www.ladislexia.net/comprension-lectora-y-estrategias-metacognitivas/</w:t>
      </w:r>
    </w:p>
    <w:p w:rsidR="00FC69CB" w:rsidRPr="00872BB1" w:rsidRDefault="00FC69CB">
      <w:pPr>
        <w:rPr>
          <w:rFonts w:cstheme="minorHAnsi"/>
          <w:sz w:val="24"/>
          <w:szCs w:val="24"/>
        </w:rPr>
      </w:pPr>
    </w:p>
    <w:sectPr w:rsidR="00FC69CB" w:rsidRPr="00872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877" w:rsidRDefault="00517877" w:rsidP="00517877">
      <w:pPr>
        <w:spacing w:after="0" w:line="240" w:lineRule="auto"/>
      </w:pPr>
      <w:r>
        <w:separator/>
      </w:r>
    </w:p>
  </w:endnote>
  <w:endnote w:type="continuationSeparator" w:id="0">
    <w:p w:rsidR="00517877" w:rsidRDefault="00517877" w:rsidP="005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7" w:rsidRDefault="005178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7" w:rsidRDefault="005178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7" w:rsidRDefault="005178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877" w:rsidRDefault="00517877" w:rsidP="00517877">
      <w:pPr>
        <w:spacing w:after="0" w:line="240" w:lineRule="auto"/>
      </w:pPr>
      <w:r>
        <w:separator/>
      </w:r>
    </w:p>
  </w:footnote>
  <w:footnote w:type="continuationSeparator" w:id="0">
    <w:p w:rsidR="00517877" w:rsidRDefault="00517877" w:rsidP="005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7" w:rsidRDefault="005178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9204" o:spid="_x0000_s2050" type="#_x0000_t136" style="position:absolute;margin-left:0;margin-top:0;width:548.25pt;height:7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7" w:rsidRDefault="005178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9205" o:spid="_x0000_s2051" type="#_x0000_t136" style="position:absolute;margin-left:0;margin-top:0;width:548.25pt;height:7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877" w:rsidRDefault="00517877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109203" o:spid="_x0000_s2049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ente de revisión y diseñ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6B6B"/>
    <w:multiLevelType w:val="multilevel"/>
    <w:tmpl w:val="54546F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7387F"/>
    <w:multiLevelType w:val="multilevel"/>
    <w:tmpl w:val="1A3E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366C2"/>
    <w:multiLevelType w:val="multilevel"/>
    <w:tmpl w:val="F5E881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80F9E"/>
    <w:multiLevelType w:val="multilevel"/>
    <w:tmpl w:val="8320F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C4950"/>
    <w:multiLevelType w:val="multilevel"/>
    <w:tmpl w:val="902E9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CB"/>
    <w:rsid w:val="00517877"/>
    <w:rsid w:val="00872BB1"/>
    <w:rsid w:val="00B22885"/>
    <w:rsid w:val="00C14147"/>
    <w:rsid w:val="00F85E82"/>
    <w:rsid w:val="00F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089EC8"/>
  <w15:chartTrackingRefBased/>
  <w15:docId w15:val="{7B9F2540-D7F9-4B11-B0DD-CF71ECBA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1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41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69C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converted-space">
    <w:name w:val="apple-converted-space"/>
    <w:basedOn w:val="Fuentedeprrafopredeter"/>
    <w:rsid w:val="00FC69CB"/>
  </w:style>
  <w:style w:type="character" w:styleId="Textoennegrita">
    <w:name w:val="Strong"/>
    <w:basedOn w:val="Fuentedeprrafopredeter"/>
    <w:uiPriority w:val="22"/>
    <w:qFormat/>
    <w:rsid w:val="00FC69CB"/>
    <w:rPr>
      <w:b/>
      <w:bCs/>
    </w:rPr>
  </w:style>
  <w:style w:type="paragraph" w:styleId="Prrafodelista">
    <w:name w:val="List Paragraph"/>
    <w:basedOn w:val="Normal"/>
    <w:uiPriority w:val="34"/>
    <w:qFormat/>
    <w:rsid w:val="00C1414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141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C14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1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ar">
    <w:name w:val="Título 2 Car"/>
    <w:basedOn w:val="Fuentedeprrafopredeter"/>
    <w:link w:val="Ttulo2"/>
    <w:uiPriority w:val="9"/>
    <w:rsid w:val="00C141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17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877"/>
  </w:style>
  <w:style w:type="paragraph" w:styleId="Piedepgina">
    <w:name w:val="footer"/>
    <w:basedOn w:val="Normal"/>
    <w:link w:val="PiedepginaCar"/>
    <w:uiPriority w:val="99"/>
    <w:unhideWhenUsed/>
    <w:rsid w:val="005178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59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chiqui valle</dc:creator>
  <cp:keywords/>
  <dc:description/>
  <cp:lastModifiedBy>chiqui valle</cp:lastModifiedBy>
  <cp:revision>2</cp:revision>
  <dcterms:created xsi:type="dcterms:W3CDTF">2016-10-25T20:41:00Z</dcterms:created>
  <dcterms:modified xsi:type="dcterms:W3CDTF">2016-10-25T20:41:00Z</dcterms:modified>
</cp:coreProperties>
</file>